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90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506"/>
        <w:gridCol w:w="3400"/>
        <w:tblGridChange w:id="0">
          <w:tblGrid>
            <w:gridCol w:w="8506"/>
            <w:gridCol w:w="3400"/>
          </w:tblGrid>
        </w:tblGridChange>
      </w:tblGrid>
      <w:tr>
        <w:trPr>
          <w:cantSplit w:val="0"/>
          <w:trHeight w:val="193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1fb5d4" w:space="0" w:sz="36" w:val="single"/>
              <w:right w:color="000000" w:space="0" w:sz="0" w:val="nil"/>
            </w:tcBorders>
            <w:shd w:fill="0b3c5d" w:val="clear"/>
            <w:tcMar>
              <w:top w:w="200.0" w:type="dxa"/>
              <w:left w:w="720.0" w:type="dxa"/>
              <w:bottom w:w="200.0" w:type="dxa"/>
              <w:right w:w="4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12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56"/>
                <w:szCs w:val="56"/>
                <w:rtl w:val="0"/>
              </w:rPr>
              <w:t xml:space="preserve">COP 17 TARGET 3 ACTION DAY MARKETPLACE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color w:val="a8e1f0"/>
                <w:sz w:val="40"/>
                <w:szCs w:val="40"/>
                <w:rtl w:val="0"/>
              </w:rPr>
              <w:t xml:space="preserve">STATION NAME: Areas of particular importance for biodiversity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1fb5d4" w:space="0" w:sz="36" w:val="single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952500" cy="1447800"/>
                  <wp:effectExtent b="0" l="0" r="0" t="0"/>
                  <wp:docPr descr="COP17 Yerevan, Armenia - Taking Action for Nature" id="4" name="image1.png"/>
                  <a:graphic>
                    <a:graphicData uri="http://schemas.openxmlformats.org/drawingml/2006/picture">
                      <pic:pic>
                        <pic:nvPicPr>
                          <pic:cNvPr descr="COP17 Yerevan, Armenia - Taking Action for Nature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447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line="340" w:lineRule="auto"/>
        <w:rPr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66.0" w:type="dxa"/>
        <w:jc w:val="left"/>
        <w:tblInd w:w="72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966"/>
        <w:gridCol w:w="1500"/>
        <w:tblGridChange w:id="0">
          <w:tblGrid>
            <w:gridCol w:w="8966"/>
            <w:gridCol w:w="1500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1fb5d4" w:space="0" w:sz="1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after="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3c5d"/>
                <w:sz w:val="40"/>
                <w:szCs w:val="40"/>
                <w:rtl w:val="0"/>
              </w:rPr>
              <w:t xml:space="preserve">Key Messages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1fb5d4" w:space="0" w:sz="1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466.0" w:type="dxa"/>
        <w:jc w:val="left"/>
        <w:tblInd w:w="72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42"/>
        <w:gridCol w:w="220"/>
        <w:gridCol w:w="3342"/>
        <w:gridCol w:w="220"/>
        <w:gridCol w:w="3342"/>
        <w:tblGridChange w:id="0">
          <w:tblGrid>
            <w:gridCol w:w="3342"/>
            <w:gridCol w:w="220"/>
            <w:gridCol w:w="3342"/>
            <w:gridCol w:w="220"/>
            <w:gridCol w:w="3342"/>
          </w:tblGrid>
        </w:tblGridChange>
      </w:tblGrid>
      <w:tr>
        <w:trPr>
          <w:cantSplit w:val="0"/>
          <w:trHeight w:val="3020" w:hRule="atLeast"/>
          <w:tblHeader w:val="0"/>
        </w:trPr>
        <w:tc>
          <w:tcPr>
            <w:tcBorders>
              <w:top w:color="e8823c" w:space="0" w:sz="3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4f3f8" w:val="clear"/>
            <w:tcMar>
              <w:top w:w="200.0" w:type="dxa"/>
              <w:left w:w="260.0" w:type="dxa"/>
              <w:bottom w:w="240.0" w:type="dxa"/>
              <w:right w:w="260.0" w:type="dxa"/>
            </w:tcMar>
          </w:tcPr>
          <w:p w:rsidR="00000000" w:rsidDel="00000000" w:rsidP="00000000" w:rsidRDefault="00000000" w:rsidRPr="00000000" w14:paraId="00000009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e8823c"/>
                <w:sz w:val="52"/>
                <w:szCs w:val="52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88" w:lineRule="auto"/>
              <w:rPr>
                <w:color w:val="1e3342"/>
                <w:sz w:val="24"/>
                <w:szCs w:val="24"/>
              </w:rPr>
            </w:pPr>
            <w:r w:rsidDel="00000000" w:rsidR="00000000" w:rsidRPr="00000000">
              <w:rPr>
                <w:color w:val="1e3342"/>
                <w:sz w:val="24"/>
                <w:szCs w:val="24"/>
                <w:rtl w:val="0"/>
              </w:rPr>
              <w:t xml:space="preserve">Areas of particular importance for biodiversity are the starting point for where 30x30 happens, through both protected areas and OECMs. Protecting the right places helps achieve other targets.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spacing w:lin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519a" w:space="0" w:sz="3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4f3f8" w:val="clear"/>
            <w:tcMar>
              <w:top w:w="200.0" w:type="dxa"/>
              <w:left w:w="260.0" w:type="dxa"/>
              <w:bottom w:w="240.0" w:type="dxa"/>
              <w:right w:w="260.0" w:type="dxa"/>
            </w:tcMar>
          </w:tcPr>
          <w:p w:rsidR="00000000" w:rsidDel="00000000" w:rsidP="00000000" w:rsidRDefault="00000000" w:rsidRPr="00000000" w14:paraId="0000000C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b4519a"/>
                <w:sz w:val="52"/>
                <w:szCs w:val="52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88" w:lineRule="auto"/>
              <w:rPr>
                <w:color w:val="1e3342"/>
                <w:sz w:val="24"/>
                <w:szCs w:val="24"/>
              </w:rPr>
            </w:pPr>
            <w:r w:rsidDel="00000000" w:rsidR="00000000" w:rsidRPr="00000000">
              <w:rPr>
                <w:color w:val="1e3342"/>
                <w:sz w:val="24"/>
                <w:szCs w:val="24"/>
                <w:rtl w:val="0"/>
              </w:rPr>
              <w:t xml:space="preserve">Key Biodiversity Areas (KBAs) are the best available map of “areas of particular importance for biodiversity”, recommended by the AHTEG, but most remain only partially protected, or unprotected.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spacing w:lin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ae6b" w:space="0" w:sz="3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4f3f8" w:val="clear"/>
            <w:tcMar>
              <w:top w:w="200.0" w:type="dxa"/>
              <w:left w:w="260.0" w:type="dxa"/>
              <w:bottom w:w="240.0" w:type="dxa"/>
              <w:right w:w="260.0" w:type="dxa"/>
            </w:tcMar>
          </w:tcPr>
          <w:p w:rsidR="00000000" w:rsidDel="00000000" w:rsidP="00000000" w:rsidRDefault="00000000" w:rsidRPr="00000000" w14:paraId="0000000F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4fae6b"/>
                <w:sz w:val="52"/>
                <w:szCs w:val="52"/>
                <w:rtl w:val="0"/>
              </w:rPr>
              <w:t xml:space="preserve">03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88" w:lineRule="auto"/>
              <w:rPr>
                <w:color w:val="1e3342"/>
                <w:sz w:val="24"/>
                <w:szCs w:val="24"/>
              </w:rPr>
            </w:pPr>
            <w:r w:rsidDel="00000000" w:rsidR="00000000" w:rsidRPr="00000000">
              <w:rPr>
                <w:color w:val="1e3342"/>
                <w:sz w:val="24"/>
                <w:szCs w:val="24"/>
                <w:rtl w:val="0"/>
              </w:rPr>
              <w:t xml:space="preserve">Establishing a KBA National Coordination Group in each country helps to drive a site identification process. This leads to better coordination between government, NGOs, Indigenous Peoples, and scientists, and supports the long term monitoring and conservation of the sites.</w:t>
            </w:r>
          </w:p>
        </w:tc>
      </w:tr>
    </w:tbl>
    <w:p w:rsidR="00000000" w:rsidDel="00000000" w:rsidP="00000000" w:rsidRDefault="00000000" w:rsidRPr="00000000" w14:paraId="00000011">
      <w:pPr>
        <w:spacing w:line="34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466.0" w:type="dxa"/>
        <w:jc w:val="left"/>
        <w:tblInd w:w="72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966"/>
        <w:gridCol w:w="1500"/>
        <w:tblGridChange w:id="0">
          <w:tblGrid>
            <w:gridCol w:w="8966"/>
            <w:gridCol w:w="1500"/>
          </w:tblGrid>
        </w:tblGridChange>
      </w:tblGrid>
      <w:tr>
        <w:trPr>
          <w:cantSplit w:val="0"/>
          <w:trHeight w:val="62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1fb5d4" w:space="0" w:sz="1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spacing w:after="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3c5d"/>
                <w:sz w:val="40"/>
                <w:szCs w:val="40"/>
                <w:rtl w:val="0"/>
              </w:rPr>
              <w:t xml:space="preserve">Resources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1fb5d4" w:space="0" w:sz="1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The Key Biodiversity Areas </w:t>
      </w:r>
      <w:hyperlink r:id="rId8">
        <w:r w:rsidDel="00000000" w:rsidR="00000000" w:rsidRPr="00000000">
          <w:rPr>
            <w:color w:val="0563c1"/>
            <w:sz w:val="28"/>
            <w:szCs w:val="28"/>
            <w:u w:val="single"/>
            <w:rtl w:val="0"/>
          </w:rPr>
          <w:t xml:space="preserve">Website</w:t>
        </w:r>
      </w:hyperlink>
      <w:r w:rsidDel="00000000" w:rsidR="00000000" w:rsidRPr="00000000">
        <w:rPr>
          <w:color w:val="00000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The Integrated Biodiversity Assessment </w:t>
      </w:r>
      <w:hyperlink r:id="rId9">
        <w:r w:rsidDel="00000000" w:rsidR="00000000" w:rsidRPr="00000000">
          <w:rPr>
            <w:color w:val="0563c1"/>
            <w:sz w:val="28"/>
            <w:szCs w:val="28"/>
            <w:u w:val="single"/>
            <w:rtl w:val="0"/>
          </w:rPr>
          <w:t xml:space="preserve">Tool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The 30×30 Integrated Conservation Priority Assessment </w:t>
      </w:r>
      <w:hyperlink r:id="rId10">
        <w:r w:rsidDel="00000000" w:rsidR="00000000" w:rsidRPr="00000000">
          <w:rPr>
            <w:color w:val="0563c1"/>
            <w:sz w:val="28"/>
            <w:szCs w:val="28"/>
            <w:u w:val="single"/>
            <w:rtl w:val="0"/>
          </w:rPr>
          <w:t xml:space="preserve">Tool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The UN Biodiversity Labs </w:t>
      </w:r>
      <w:hyperlink r:id="rId11">
        <w:r w:rsidDel="00000000" w:rsidR="00000000" w:rsidRPr="00000000">
          <w:rPr>
            <w:color w:val="0563c1"/>
            <w:sz w:val="28"/>
            <w:szCs w:val="28"/>
            <w:u w:val="single"/>
            <w:rtl w:val="0"/>
          </w:rPr>
          <w:t xml:space="preserve">Map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Identifying and delineating Key Biodiversity Areas </w:t>
      </w:r>
      <w:hyperlink r:id="rId12">
        <w:r w:rsidDel="00000000" w:rsidR="00000000" w:rsidRPr="00000000">
          <w:rPr>
            <w:color w:val="0563c1"/>
            <w:sz w:val="28"/>
            <w:szCs w:val="28"/>
            <w:u w:val="single"/>
            <w:rtl w:val="0"/>
          </w:rPr>
          <w:t xml:space="preserve">Training</w:t>
        </w:r>
      </w:hyperlink>
      <w:r w:rsidDel="00000000" w:rsidR="00000000" w:rsidRPr="00000000">
        <w:rPr>
          <w:color w:val="000000"/>
          <w:sz w:val="28"/>
          <w:szCs w:val="28"/>
          <w:rtl w:val="0"/>
        </w:rPr>
        <w:t xml:space="preserve"> (EN, FR, ES, PT)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Using Key Biodiversity Areas to Improve Implementation of the Kunming-Montreal Global Biodiversity Framework </w:t>
      </w:r>
      <w:hyperlink r:id="rId13">
        <w:r w:rsidDel="00000000" w:rsidR="00000000" w:rsidRPr="00000000">
          <w:rPr>
            <w:color w:val="0563c1"/>
            <w:sz w:val="28"/>
            <w:szCs w:val="28"/>
            <w:u w:val="single"/>
            <w:rtl w:val="0"/>
          </w:rPr>
          <w:t xml:space="preserve">Training</w:t>
        </w:r>
      </w:hyperlink>
      <w:r w:rsidDel="00000000" w:rsidR="00000000" w:rsidRPr="00000000">
        <w:rPr>
          <w:color w:val="00000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sz w:val="28"/>
          <w:szCs w:val="28"/>
          <w:u w:val="none"/>
        </w:rPr>
      </w:pPr>
      <w:hyperlink r:id="rId14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Guidance</w:t>
        </w:r>
      </w:hyperlink>
      <w:r w:rsidDel="00000000" w:rsidR="00000000" w:rsidRPr="00000000">
        <w:rPr>
          <w:sz w:val="28"/>
          <w:szCs w:val="28"/>
          <w:rtl w:val="0"/>
        </w:rPr>
        <w:t xml:space="preserve"> o</w:t>
      </w:r>
      <w:r w:rsidDel="00000000" w:rsidR="00000000" w:rsidRPr="00000000">
        <w:rPr>
          <w:sz w:val="28"/>
          <w:szCs w:val="28"/>
          <w:rtl w:val="0"/>
        </w:rPr>
        <w:t xml:space="preserve">n How can integrating KBAs into NBSAPs help to deliver the GBF (EN, FR, ES)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hyperlink r:id="rId15">
        <w:r w:rsidDel="00000000" w:rsidR="00000000" w:rsidRPr="00000000">
          <w:rPr>
            <w:color w:val="0563c1"/>
            <w:sz w:val="28"/>
            <w:szCs w:val="28"/>
            <w:u w:val="single"/>
            <w:rtl w:val="0"/>
          </w:rPr>
          <w:t xml:space="preserve">Guidelines</w:t>
        </w:r>
      </w:hyperlink>
      <w:r w:rsidDel="00000000" w:rsidR="00000000" w:rsidRPr="00000000">
        <w:rPr>
          <w:color w:val="000000"/>
          <w:sz w:val="28"/>
          <w:szCs w:val="28"/>
          <w:rtl w:val="0"/>
        </w:rPr>
        <w:t xml:space="preserve"> for using A Global Standard for the Identification of Key Biodiversity Areas (EN, FR, </w:t>
      </w:r>
      <w:r w:rsidDel="00000000" w:rsidR="00000000" w:rsidRPr="00000000">
        <w:rPr>
          <w:sz w:val="28"/>
          <w:szCs w:val="28"/>
          <w:rtl w:val="0"/>
        </w:rPr>
        <w:t xml:space="preserve">ES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, KO)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hyperlink r:id="rId16">
        <w:r w:rsidDel="00000000" w:rsidR="00000000" w:rsidRPr="00000000">
          <w:rPr>
            <w:color w:val="0563c1"/>
            <w:sz w:val="28"/>
            <w:szCs w:val="28"/>
            <w:u w:val="single"/>
            <w:rtl w:val="0"/>
          </w:rPr>
          <w:t xml:space="preserve">Guidance</w:t>
        </w:r>
      </w:hyperlink>
      <w:r w:rsidDel="00000000" w:rsidR="00000000" w:rsidRPr="00000000">
        <w:rPr>
          <w:color w:val="000000"/>
          <w:sz w:val="28"/>
          <w:szCs w:val="28"/>
          <w:rtl w:val="0"/>
        </w:rPr>
        <w:t xml:space="preserve"> on Proposing, Reviewing, Nominating &amp; Confirming Sites (EN, FR, ES)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41" w:rightFromText="141" w:topFromText="0" w:bottomFromText="0" w:vertAnchor="text" w:horzAnchor="text" w:tblpX="0" w:tblpY="0"/>
        <w:tblW w:w="11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934"/>
        <w:gridCol w:w="8946"/>
        <w:tblGridChange w:id="0">
          <w:tblGrid>
            <w:gridCol w:w="2934"/>
            <w:gridCol w:w="894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b3c5d" w:val="clear"/>
            <w:tcMar>
              <w:top w:w="160.0" w:type="dxa"/>
              <w:left w:w="360.0" w:type="dxa"/>
              <w:bottom w:w="16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40"/>
                <w:szCs w:val="40"/>
                <w:rtl w:val="0"/>
              </w:rPr>
              <w:t xml:space="preserve">Get in Touch!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1fb5d4" w:space="0" w:sz="24" w:val="single"/>
              <w:bottom w:color="000000" w:space="0" w:sz="0" w:val="nil"/>
              <w:right w:color="000000" w:space="0" w:sz="0" w:val="nil"/>
            </w:tcBorders>
            <w:shd w:fill="0b3c5d" w:val="clear"/>
            <w:tcMar>
              <w:top w:w="160.0" w:type="dxa"/>
              <w:left w:w="360.0" w:type="dxa"/>
              <w:bottom w:w="160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Megan Eldred                                             Andrew Plumptre</w:t>
            </w:r>
          </w:p>
          <w:p w:rsidR="00000000" w:rsidDel="00000000" w:rsidP="00000000" w:rsidRDefault="00000000" w:rsidRPr="00000000" w14:paraId="00000021">
            <w:pPr>
              <w:rPr>
                <w:color w:val="ffffff"/>
                <w:sz w:val="24"/>
                <w:szCs w:val="24"/>
              </w:rPr>
            </w:pPr>
            <w:hyperlink r:id="rId17">
              <w:r w:rsidDel="00000000" w:rsidR="00000000" w:rsidRPr="00000000">
                <w:rPr>
                  <w:color w:val="0563c1"/>
                  <w:sz w:val="24"/>
                  <w:szCs w:val="24"/>
                  <w:u w:val="single"/>
                  <w:rtl w:val="0"/>
                </w:rPr>
                <w:t xml:space="preserve">megan.eldred@birdlife.org</w:t>
              </w:r>
            </w:hyperlink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                     </w:t>
            </w:r>
            <w:hyperlink r:id="rId18">
              <w:r w:rsidDel="00000000" w:rsidR="00000000" w:rsidRPr="00000000">
                <w:rPr>
                  <w:color w:val="0563c1"/>
                  <w:sz w:val="24"/>
                  <w:szCs w:val="24"/>
                  <w:u w:val="single"/>
                  <w:rtl w:val="0"/>
                </w:rPr>
                <w:t xml:space="preserve">aplumptre@keybiodiversityareas.org</w:t>
              </w:r>
            </w:hyperlink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2">
            <w:pPr>
              <w:rPr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For more information: </w:t>
            </w:r>
            <w:hyperlink r:id="rId19">
              <w:r w:rsidDel="00000000" w:rsidR="00000000" w:rsidRPr="00000000">
                <w:rPr>
                  <w:color w:val="ffffff"/>
                  <w:sz w:val="24"/>
                  <w:szCs w:val="24"/>
                  <w:u w:val="single"/>
                  <w:rtl w:val="0"/>
                </w:rPr>
                <w:t xml:space="preserve">https://www.30x30.solutions/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tabs>
          <w:tab w:val="left" w:leader="none" w:pos="1710"/>
        </w:tabs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360" w:top="0" w:left="0" w:right="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i w:val="1"/>
      <w:iCs w:val="1"/>
      <w:color w:val="2e74b5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000000"/>
      <w:sz w:val="56"/>
      <w:szCs w:val="56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trong1" w:customStyle="1">
    <w:name w:val="Strong1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FootnoteReference">
    <w:name w:val="footnote reference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rPr>
      <w:sz w:val="20"/>
      <w:szCs w:val="20"/>
    </w:rPr>
  </w:style>
  <w:style w:type="character" w:styleId="EndnoteTextChar" w:customStyle="1">
    <w:name w:val="Endnote Text Char"/>
    <w:link w:val="EndnoteText"/>
    <w:uiPriority w:val="99"/>
    <w:semiHidden w:val="1"/>
    <w:unhideWhenUsed w:val="1"/>
    <w:rPr>
      <w:sz w:val="20"/>
      <w:szCs w:val="20"/>
    </w:rPr>
  </w:style>
  <w:style w:type="table" w:styleId="a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E35D7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5E35D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8A521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A5211"/>
  </w:style>
  <w:style w:type="paragraph" w:styleId="Footer">
    <w:name w:val="footer"/>
    <w:basedOn w:val="Normal"/>
    <w:link w:val="FooterChar"/>
    <w:uiPriority w:val="99"/>
    <w:unhideWhenUsed w:val="1"/>
    <w:rsid w:val="008A521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A5211"/>
  </w:style>
  <w:style w:type="table" w:styleId="a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unbiodiversitylab.org/en/" TargetMode="External"/><Relationship Id="rId10" Type="http://schemas.openxmlformats.org/officeDocument/2006/relationships/hyperlink" Target="https://highambitionfund.org/30x30-Assessment-Tool" TargetMode="External"/><Relationship Id="rId13" Type="http://schemas.openxmlformats.org/officeDocument/2006/relationships/hyperlink" Target="https://www.learningfornature.org/en/nature-for-life-hub/policy-and-practice-shift/conserving-land-water-and-oceans/using-key-biodiversity-areas-to-improve-implementation-of-the-kunming-montreal-global-biodiversity-framework/" TargetMode="External"/><Relationship Id="rId12" Type="http://schemas.openxmlformats.org/officeDocument/2006/relationships/hyperlink" Target="https://www.conservationtraining.org/course/index.php?categoryid=150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ibat-alliance.org/" TargetMode="External"/><Relationship Id="rId15" Type="http://schemas.openxmlformats.org/officeDocument/2006/relationships/hyperlink" Target="https://www.keybiodiversityareas.org/en/resource/guidelines-using-global-standard-identification-key-biodiversity-areas" TargetMode="External"/><Relationship Id="rId14" Type="http://schemas.openxmlformats.org/officeDocument/2006/relationships/hyperlink" Target="https://www.keybiodiversityareas.org/en/resource/how-can-integrating-KBAs-into-NBSAPs-help-deliver-the-GBF" TargetMode="External"/><Relationship Id="rId17" Type="http://schemas.openxmlformats.org/officeDocument/2006/relationships/hyperlink" Target="mailto:megan.eldred@birdlife.org" TargetMode="External"/><Relationship Id="rId16" Type="http://schemas.openxmlformats.org/officeDocument/2006/relationships/hyperlink" Target="https://www.keybiodiversityareas.org/en/resource/proposal-process-guidance-proposing-reviewing-nominating-and-confirming-sites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30x30.solutions/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mailto:andrew.plumptre@keybiodiversityareas.org" TargetMode="External"/><Relationship Id="rId7" Type="http://schemas.openxmlformats.org/officeDocument/2006/relationships/image" Target="media/image1.png"/><Relationship Id="rId8" Type="http://schemas.openxmlformats.org/officeDocument/2006/relationships/hyperlink" Target="https://www.keybiodiversityareas.org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eMg9H5wk4C4avn+5+vmu0Ks0bQ==">CgMxLjA4AHIhMUlqd0F4QVZDVll6Nk5Ycy1heExKVVI0LWI3X0F2R3dF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2026-10-22T12:45:00Z</dcterms:created>
  <dc:creator>COP17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0x0101005CF94615F337A049B08447701D0DAFF9</vt:lpwstr>
  </property>
</Properties>
</file>