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90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506"/>
        <w:gridCol w:w="3400"/>
        <w:tblGridChange w:id="0">
          <w:tblGrid>
            <w:gridCol w:w="8506"/>
            <w:gridCol w:w="3400"/>
          </w:tblGrid>
        </w:tblGridChange>
      </w:tblGrid>
      <w:tr>
        <w:trPr>
          <w:cantSplit w:val="0"/>
          <w:trHeight w:val="193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36" w:val="single"/>
              <w:right w:color="000000" w:space="0" w:sz="0" w:val="nil"/>
            </w:tcBorders>
            <w:shd w:fill="0b3c5d" w:val="clear"/>
            <w:tcMar>
              <w:top w:w="200.0" w:type="dxa"/>
              <w:left w:w="720.0" w:type="dxa"/>
              <w:bottom w:w="200.0" w:type="dxa"/>
              <w:right w:w="4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12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56"/>
                <w:szCs w:val="56"/>
                <w:rtl w:val="0"/>
              </w:rPr>
              <w:t xml:space="preserve">COP 17 TARGET 3 ACTION DAY MARKETPLACE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color w:val="a8e1f0"/>
                <w:sz w:val="40"/>
                <w:szCs w:val="40"/>
                <w:rtl w:val="0"/>
              </w:rPr>
              <w:t xml:space="preserve">STATION NAME: Connectivity and Transboundary Conservation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36" w:val="single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952500" cy="1447800"/>
                  <wp:effectExtent b="0" l="0" r="0" t="0"/>
                  <wp:docPr descr="COP17 Yerevan, Armenia - Taking Action for Nature" id="5" name="image1.png"/>
                  <a:graphic>
                    <a:graphicData uri="http://schemas.openxmlformats.org/drawingml/2006/picture">
                      <pic:pic>
                        <pic:nvPicPr>
                          <pic:cNvPr descr="COP17 Yerevan, Armenia - Taking Action for Nature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44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line="340" w:lineRule="auto"/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966"/>
        <w:gridCol w:w="1500"/>
        <w:tblGridChange w:id="0">
          <w:tblGrid>
            <w:gridCol w:w="8966"/>
            <w:gridCol w:w="150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3c5d"/>
                <w:sz w:val="40"/>
                <w:szCs w:val="40"/>
                <w:rtl w:val="0"/>
              </w:rPr>
              <w:t xml:space="preserve">Key Messages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42"/>
        <w:gridCol w:w="220"/>
        <w:gridCol w:w="3342"/>
        <w:gridCol w:w="220"/>
        <w:gridCol w:w="3342"/>
        <w:tblGridChange w:id="0">
          <w:tblGrid>
            <w:gridCol w:w="3342"/>
            <w:gridCol w:w="220"/>
            <w:gridCol w:w="3342"/>
            <w:gridCol w:w="220"/>
            <w:gridCol w:w="3342"/>
          </w:tblGrid>
        </w:tblGridChange>
      </w:tblGrid>
      <w:tr>
        <w:trPr>
          <w:cantSplit w:val="0"/>
          <w:trHeight w:val="3713.37109375" w:hRule="atLeast"/>
          <w:tblHeader w:val="0"/>
        </w:trPr>
        <w:tc>
          <w:tcPr>
            <w:tcBorders>
              <w:top w:color="e8823c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09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e8823c"/>
                <w:sz w:val="52"/>
                <w:szCs w:val="52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88" w:lineRule="auto"/>
              <w:rPr>
                <w:rFonts w:ascii="Roboto" w:cs="Roboto" w:eastAsia="Roboto" w:hAnsi="Roboto"/>
                <w:color w:val="444746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444746"/>
                <w:sz w:val="21"/>
                <w:szCs w:val="21"/>
                <w:rtl w:val="0"/>
              </w:rPr>
              <w:t xml:space="preserve">Target 3 calls for protected areas and OECMs to be well-connected and integrated into wider landscapes and seascapes.</w:t>
            </w:r>
          </w:p>
          <w:p w:rsidR="00000000" w:rsidDel="00000000" w:rsidP="00000000" w:rsidRDefault="00000000" w:rsidRPr="00000000" w14:paraId="0000000B">
            <w:pPr>
              <w:spacing w:line="288" w:lineRule="auto"/>
              <w:rPr>
                <w:color w:val="1e334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lin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4519a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0D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b4519a"/>
                <w:sz w:val="52"/>
                <w:szCs w:val="52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88" w:lineRule="auto"/>
              <w:rPr>
                <w:rFonts w:ascii="Roboto" w:cs="Roboto" w:eastAsia="Roboto" w:hAnsi="Roboto"/>
                <w:color w:val="444746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444746"/>
                <w:sz w:val="21"/>
                <w:szCs w:val="21"/>
                <w:rtl w:val="0"/>
              </w:rPr>
              <w:t xml:space="preserve">Ecological corridors and networks keep isolated sites functioning as a system, supporting species dispersal, migration and climate adaptation rather than leaving PCAs as fragmented islands.</w:t>
            </w:r>
          </w:p>
          <w:p w:rsidR="00000000" w:rsidDel="00000000" w:rsidP="00000000" w:rsidRDefault="00000000" w:rsidRPr="00000000" w14:paraId="0000000F">
            <w:pPr>
              <w:spacing w:line="288" w:lineRule="auto"/>
              <w:rPr>
                <w:rFonts w:ascii="Roboto" w:cs="Roboto" w:eastAsia="Roboto" w:hAnsi="Roboto"/>
                <w:color w:val="444746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spacing w:lin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ae6b" w:space="0" w:sz="3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4f3f8" w:val="clear"/>
            <w:tcMar>
              <w:top w:w="200.0" w:type="dxa"/>
              <w:left w:w="260.0" w:type="dxa"/>
              <w:bottom w:w="240.0" w:type="dxa"/>
              <w:right w:w="260.0" w:type="dxa"/>
            </w:tcMar>
          </w:tcPr>
          <w:p w:rsidR="00000000" w:rsidDel="00000000" w:rsidP="00000000" w:rsidRDefault="00000000" w:rsidRPr="00000000" w14:paraId="00000011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4fae6b"/>
                <w:sz w:val="52"/>
                <w:szCs w:val="52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Roboto" w:cs="Roboto" w:eastAsia="Roboto" w:hAnsi="Roboto"/>
                <w:color w:val="444746"/>
                <w:sz w:val="21"/>
                <w:szCs w:val="21"/>
              </w:rPr>
            </w:pPr>
            <w:r w:rsidDel="00000000" w:rsidR="00000000" w:rsidRPr="00000000">
              <w:rPr>
                <w:rFonts w:ascii="Roboto" w:cs="Roboto" w:eastAsia="Roboto" w:hAnsi="Roboto"/>
                <w:color w:val="444746"/>
                <w:sz w:val="21"/>
                <w:szCs w:val="21"/>
                <w:rtl w:val="0"/>
              </w:rPr>
              <w:t xml:space="preserve">This work is often transboundary in nature; migratory species, flyways, free-flowing rivers and marine corridors cross jurisdictions and can only be secured through cooperation among countries.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Roboto" w:cs="Roboto" w:eastAsia="Roboto" w:hAnsi="Roboto"/>
                <w:color w:val="444746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88" w:lineRule="auto"/>
              <w:rPr>
                <w:color w:val="1e334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3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966"/>
        <w:gridCol w:w="1500"/>
        <w:tblGridChange w:id="0">
          <w:tblGrid>
            <w:gridCol w:w="8966"/>
            <w:gridCol w:w="150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after="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b3c5d"/>
                <w:sz w:val="40"/>
                <w:szCs w:val="40"/>
                <w:rtl w:val="0"/>
              </w:rPr>
              <w:t xml:space="preserve">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fb5d4" w:space="0" w:sz="1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ind w:right="-90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ind w:left="720" w:right="1020" w:firstLine="0"/>
        <w:rPr>
          <w:rFonts w:ascii="Roboto" w:cs="Roboto" w:eastAsia="Roboto" w:hAnsi="Roboto"/>
          <w:b w:val="1"/>
          <w:bCs w:val="1"/>
          <w:color w:val="954f72"/>
          <w:sz w:val="20"/>
          <w:szCs w:val="20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IUCN’s </w:t>
      </w:r>
      <w:hyperlink r:id="rId8">
        <w:r w:rsidDel="00000000" w:rsidR="00000000" w:rsidRPr="00000000">
          <w:rPr>
            <w:rFonts w:ascii="Roboto" w:cs="Roboto" w:eastAsia="Roboto" w:hAnsi="Roboto"/>
            <w:b w:val="1"/>
            <w:bCs w:val="1"/>
            <w:color w:val="954f72"/>
            <w:sz w:val="20"/>
            <w:szCs w:val="20"/>
            <w:u w:val="single"/>
            <w:rtl w:val="0"/>
          </w:rPr>
          <w:t xml:space="preserve">Guidelines for conserving connectivity through ecological networks and corridors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ind w:left="720" w:right="1020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IUCN’s </w:t>
      </w:r>
      <w:hyperlink r:id="rId9">
        <w:r w:rsidDel="00000000" w:rsidR="00000000" w:rsidRPr="00000000">
          <w:rPr>
            <w:rFonts w:ascii="Roboto" w:cs="Roboto" w:eastAsia="Roboto" w:hAnsi="Roboto"/>
            <w:b w:val="1"/>
            <w:bCs w:val="1"/>
            <w:color w:val="954f72"/>
            <w:sz w:val="20"/>
            <w:szCs w:val="20"/>
            <w:u w:val="single"/>
            <w:rtl w:val="0"/>
          </w:rPr>
          <w:t xml:space="preserve">Transboundary conservation: a systematic and integrated approach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ind w:left="720" w:right="1020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hyperlink r:id="rId10">
        <w:r w:rsidDel="00000000" w:rsidR="00000000" w:rsidRPr="00000000">
          <w:rPr>
            <w:rFonts w:ascii="Roboto" w:cs="Roboto" w:eastAsia="Roboto" w:hAnsi="Roboto"/>
            <w:b w:val="1"/>
            <w:bCs w:val="1"/>
            <w:color w:val="954f72"/>
            <w:sz w:val="20"/>
            <w:szCs w:val="20"/>
            <w:u w:val="single"/>
            <w:rtl w:val="0"/>
          </w:rPr>
          <w:t xml:space="preserve">Marine connectivity rules of thumb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ind w:left="720" w:right="1020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Learn more from the </w:t>
      </w:r>
      <w:hyperlink r:id="rId11">
        <w:r w:rsidDel="00000000" w:rsidR="00000000" w:rsidRPr="00000000">
          <w:rPr>
            <w:rFonts w:ascii="Roboto" w:cs="Roboto" w:eastAsia="Roboto" w:hAnsi="Roboto"/>
            <w:b w:val="1"/>
            <w:bCs w:val="1"/>
            <w:color w:val="954f72"/>
            <w:sz w:val="20"/>
            <w:szCs w:val="20"/>
            <w:u w:val="single"/>
            <w:rtl w:val="0"/>
          </w:rPr>
          <w:t xml:space="preserve">IUCN-WCPA Connectivity Conservation Specialist Group (CCSG)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right="1020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NEW from the GLOBAL PARTNERSHIP ON ECOLOGICAL CONNECTIVITY!</w:t>
      </w:r>
    </w:p>
    <w:p w:rsidR="00000000" w:rsidDel="00000000" w:rsidP="00000000" w:rsidRDefault="00000000" w:rsidRPr="00000000" w14:paraId="0000001E">
      <w:pPr>
        <w:ind w:left="720" w:right="1020" w:firstLine="0"/>
        <w:rPr>
          <w:rFonts w:ascii="Roboto" w:cs="Roboto" w:eastAsia="Roboto" w:hAnsi="Roboto"/>
          <w:b w:val="1"/>
          <w:bCs w:val="1"/>
          <w:color w:val="954f72"/>
          <w:sz w:val="20"/>
          <w:szCs w:val="20"/>
          <w:u w:val="single"/>
        </w:rPr>
      </w:pPr>
      <w:hyperlink r:id="rId12">
        <w:r w:rsidDel="00000000" w:rsidR="00000000" w:rsidRPr="00000000">
          <w:rPr>
            <w:rFonts w:ascii="Roboto" w:cs="Roboto" w:eastAsia="Roboto" w:hAnsi="Roboto"/>
            <w:b w:val="1"/>
            <w:bCs w:val="1"/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Connecting Nature to Sustain Life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0"/>
          <w:szCs w:val="20"/>
          <w:rtl w:val="0"/>
        </w:rPr>
        <w:t xml:space="preserve">: A Guide to Action</w:t>
      </w: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 (including sector-specific guidance)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right="1020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20" w:firstLine="720"/>
        <w:jc w:val="left"/>
        <w:rPr>
          <w:rFonts w:ascii="Roboto" w:cs="Roboto" w:eastAsia="Roboto" w:hAnsi="Roboto"/>
          <w:b w:val="1"/>
          <w:bCs w:val="1"/>
          <w:color w:val="954f72"/>
          <w:sz w:val="20"/>
          <w:szCs w:val="20"/>
          <w:u w:val="single"/>
        </w:rPr>
      </w:pPr>
      <w:hyperlink r:id="rId13">
        <w:r w:rsidDel="00000000" w:rsidR="00000000" w:rsidRPr="00000000">
          <w:rPr>
            <w:rFonts w:ascii="Roboto" w:cs="Roboto" w:eastAsia="Roboto" w:hAnsi="Roboto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Center for Large Landscape Conservation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980" w:right="-90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ind w:left="-980" w:right="-900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0"/>
        <w:tblW w:w="11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934"/>
        <w:gridCol w:w="8946"/>
        <w:tblGridChange w:id="0">
          <w:tblGrid>
            <w:gridCol w:w="2934"/>
            <w:gridCol w:w="8946"/>
          </w:tblGrid>
        </w:tblGridChange>
      </w:tblGrid>
      <w:tr>
        <w:trPr>
          <w:cantSplit w:val="0"/>
          <w:trHeight w:val="99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b3c5d" w:val="clear"/>
            <w:tcMar>
              <w:top w:w="160.0" w:type="dxa"/>
              <w:left w:w="360.0" w:type="dxa"/>
              <w:bottom w:w="16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Get in Touch!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1fb5d4" w:space="0" w:sz="24" w:val="single"/>
              <w:bottom w:color="000000" w:space="0" w:sz="0" w:val="nil"/>
              <w:right w:color="000000" w:space="0" w:sz="0" w:val="nil"/>
            </w:tcBorders>
            <w:shd w:fill="0b3c5d" w:val="clear"/>
            <w:tcMar>
              <w:top w:w="160.0" w:type="dxa"/>
              <w:left w:w="360.0" w:type="dxa"/>
              <w:bottom w:w="1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Gabriel Oppler                                                                   Aaron Laur</w:t>
            </w:r>
          </w:p>
          <w:p w:rsidR="00000000" w:rsidDel="00000000" w:rsidP="00000000" w:rsidRDefault="00000000" w:rsidRPr="00000000" w14:paraId="00000025">
            <w:pPr>
              <w:rPr>
                <w:color w:val="ffffff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gabe@largelandscapes.org</w:t>
              </w:r>
            </w:hyperlink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                                             </w:t>
            </w:r>
            <w:hyperlink r:id="rId15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aaronlaur@largelandscapes.org</w:t>
              </w:r>
            </w:hyperlink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For more information: </w:t>
            </w:r>
            <w:hyperlink r:id="rId16">
              <w:r w:rsidDel="00000000" w:rsidR="00000000" w:rsidRPr="00000000">
                <w:rPr>
                  <w:color w:val="ffffff"/>
                  <w:sz w:val="24"/>
                  <w:szCs w:val="24"/>
                  <w:u w:val="single"/>
                  <w:rtl w:val="0"/>
                </w:rPr>
                <w:t xml:space="preserve">https://www.30x30.solutions/</w:t>
              </w:r>
            </w:hyperlink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.2812499999999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b3c5d" w:val="clear"/>
            <w:tcMar>
              <w:top w:w="160.0" w:type="dxa"/>
              <w:left w:w="360.0" w:type="dxa"/>
              <w:bottom w:w="16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1fb5d4" w:space="0" w:sz="24" w:val="single"/>
              <w:bottom w:color="000000" w:space="0" w:sz="0" w:val="nil"/>
              <w:right w:color="000000" w:space="0" w:sz="0" w:val="nil"/>
            </w:tcBorders>
            <w:shd w:fill="0b3c5d" w:val="clear"/>
            <w:tcMar>
              <w:top w:w="160.0" w:type="dxa"/>
              <w:left w:w="360.0" w:type="dxa"/>
              <w:bottom w:w="160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17" w:type="default"/>
      <w:pgSz w:h="16838" w:w="11906" w:orient="portrait"/>
      <w:pgMar w:bottom="360" w:top="0" w:left="0" w:right="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trong1" w:customStyle="1">
    <w:name w:val="Strong1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E35D7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5E35D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8A521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A5211"/>
  </w:style>
  <w:style w:type="paragraph" w:styleId="Footer">
    <w:name w:val="footer"/>
    <w:basedOn w:val="Normal"/>
    <w:link w:val="FooterChar"/>
    <w:uiPriority w:val="99"/>
    <w:unhideWhenUsed w:val="1"/>
    <w:rsid w:val="008A521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A5211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onservationcorridor.org/ccsg/resources/publications/" TargetMode="External"/><Relationship Id="rId10" Type="http://schemas.openxmlformats.org/officeDocument/2006/relationships/hyperlink" Target="https://conservationcorridor.org/wp-content/uploads/Marine-Connectivity-Conservation-Rules-of-Thumb-for-MPA-and-MPA-Network-Design_2021.pdf" TargetMode="External"/><Relationship Id="rId13" Type="http://schemas.openxmlformats.org/officeDocument/2006/relationships/hyperlink" Target="http://largelandscapes.org/ourservices" TargetMode="External"/><Relationship Id="rId12" Type="http://schemas.openxmlformats.org/officeDocument/2006/relationships/hyperlink" Target="https://gpec-partnership.com/wp-content/uploads/2026/09/Final_Guide-to-Action_Full-Document-3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i.org/10.2305/IUCN.CH.2015.PAG.23.en" TargetMode="External"/><Relationship Id="rId15" Type="http://schemas.openxmlformats.org/officeDocument/2006/relationships/hyperlink" Target="mailto:aaronlaur@largelandscapes.org" TargetMode="External"/><Relationship Id="rId14" Type="http://schemas.openxmlformats.org/officeDocument/2006/relationships/hyperlink" Target="mailto:gabe@largelandscapes.org" TargetMode="External"/><Relationship Id="rId17" Type="http://schemas.openxmlformats.org/officeDocument/2006/relationships/footer" Target="footer1.xml"/><Relationship Id="rId16" Type="http://schemas.openxmlformats.org/officeDocument/2006/relationships/hyperlink" Target="https://www.30x30.solution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ortals.iucn.org/library/node/4906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Y0pIkp2DdGSJCqJJ+3GLC9tEuw==">CgMxLjA4AHIhMUhZdW95c193UVdtRjEwYlkzaXFuMHR6V2JnZ2tja09S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2026-10-02T18:35:00Z</dcterms:created>
  <dc:creator>COP17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0x0101005CF94615F337A049B08447701D0DAFF9</vt:lpwstr>
  </property>
</Properties>
</file>