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90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506"/>
        <w:gridCol w:w="3400"/>
        <w:tblGridChange w:id="0">
          <w:tblGrid>
            <w:gridCol w:w="8506"/>
            <w:gridCol w:w="3400"/>
          </w:tblGrid>
        </w:tblGridChange>
      </w:tblGrid>
      <w:tr>
        <w:trPr>
          <w:cantSplit w:val="0"/>
          <w:trHeight w:val="193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1fb5d4" w:space="0" w:sz="36" w:val="single"/>
              <w:right w:color="000000" w:space="0" w:sz="0" w:val="nil"/>
            </w:tcBorders>
            <w:shd w:fill="0b3c5d" w:val="clear"/>
            <w:tcMar>
              <w:top w:w="200.0" w:type="dxa"/>
              <w:left w:w="720.0" w:type="dxa"/>
              <w:bottom w:w="200.0" w:type="dxa"/>
              <w:right w:w="4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12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56"/>
                <w:szCs w:val="56"/>
                <w:rtl w:val="0"/>
              </w:rPr>
              <w:t xml:space="preserve">COP 17 TARGET 3 ACTION DAY MARKETPLACE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color w:val="a8e1f0"/>
                <w:sz w:val="40"/>
                <w:szCs w:val="40"/>
                <w:rtl w:val="0"/>
              </w:rPr>
              <w:t xml:space="preserve">STATION NAME: Effectiveness of PCAs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fb5d4" w:space="0" w:sz="36" w:val="single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952500" cy="1447800"/>
                  <wp:effectExtent b="0" l="0" r="0" t="0"/>
                  <wp:docPr descr="COP17 Yerevan, Armenia - Taking Action for Nature" id="4" name="image1.png"/>
                  <a:graphic>
                    <a:graphicData uri="http://schemas.openxmlformats.org/drawingml/2006/picture">
                      <pic:pic>
                        <pic:nvPicPr>
                          <pic:cNvPr descr="COP17 Yerevan, Armenia - Taking Action for Nature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447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line="340" w:lineRule="auto"/>
        <w:rPr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Ind w:w="72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966"/>
        <w:gridCol w:w="1500"/>
        <w:tblGridChange w:id="0">
          <w:tblGrid>
            <w:gridCol w:w="8966"/>
            <w:gridCol w:w="1500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1fb5d4" w:space="0" w:sz="1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3c5d"/>
                <w:sz w:val="40"/>
                <w:szCs w:val="40"/>
                <w:rtl w:val="0"/>
              </w:rPr>
              <w:t xml:space="preserve">Key Messages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fb5d4" w:space="0" w:sz="1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466.0" w:type="dxa"/>
        <w:jc w:val="left"/>
        <w:tblInd w:w="72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42"/>
        <w:gridCol w:w="220"/>
        <w:gridCol w:w="3342"/>
        <w:gridCol w:w="220"/>
        <w:gridCol w:w="3342"/>
        <w:tblGridChange w:id="0">
          <w:tblGrid>
            <w:gridCol w:w="3342"/>
            <w:gridCol w:w="220"/>
            <w:gridCol w:w="3342"/>
            <w:gridCol w:w="220"/>
            <w:gridCol w:w="3342"/>
          </w:tblGrid>
        </w:tblGridChange>
      </w:tblGrid>
      <w:tr>
        <w:trPr>
          <w:cantSplit w:val="0"/>
          <w:trHeight w:val="2900" w:hRule="atLeast"/>
          <w:tblHeader w:val="0"/>
        </w:trPr>
        <w:tc>
          <w:tcPr>
            <w:tcBorders>
              <w:top w:color="e8823c" w:space="0" w:sz="3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4f3f8" w:val="clear"/>
            <w:tcMar>
              <w:top w:w="200.0" w:type="dxa"/>
              <w:left w:w="260.0" w:type="dxa"/>
              <w:bottom w:w="240.0" w:type="dxa"/>
              <w:right w:w="260.0" w:type="dxa"/>
            </w:tcMar>
          </w:tcPr>
          <w:p w:rsidR="00000000" w:rsidDel="00000000" w:rsidP="00000000" w:rsidRDefault="00000000" w:rsidRPr="00000000" w14:paraId="00000009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e8823c"/>
                <w:sz w:val="52"/>
                <w:szCs w:val="52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88" w:lineRule="auto"/>
              <w:rPr>
                <w:color w:val="1e3342"/>
                <w:sz w:val="24"/>
                <w:szCs w:val="24"/>
              </w:rPr>
            </w:pPr>
            <w:r w:rsidDel="00000000" w:rsidR="00000000" w:rsidRPr="00000000">
              <w:rPr>
                <w:color w:val="1e3342"/>
                <w:sz w:val="24"/>
                <w:szCs w:val="24"/>
                <w:rtl w:val="0"/>
              </w:rPr>
              <w:t xml:space="preserve">Target 3 requires not only expanded coverage of protected and conserved areas, but also demonstrably effective conservation of biodiversity and associated values.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lin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519a" w:space="0" w:sz="3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4f3f8" w:val="clear"/>
            <w:tcMar>
              <w:top w:w="200.0" w:type="dxa"/>
              <w:left w:w="260.0" w:type="dxa"/>
              <w:bottom w:w="240.0" w:type="dxa"/>
              <w:right w:w="260.0" w:type="dxa"/>
            </w:tcMar>
          </w:tcPr>
          <w:p w:rsidR="00000000" w:rsidDel="00000000" w:rsidP="00000000" w:rsidRDefault="00000000" w:rsidRPr="00000000" w14:paraId="0000000C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b4519a"/>
                <w:sz w:val="52"/>
                <w:szCs w:val="52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88" w:lineRule="auto"/>
              <w:rPr/>
            </w:pPr>
            <w:r w:rsidDel="00000000" w:rsidR="00000000" w:rsidRPr="00000000">
              <w:rPr>
                <w:color w:val="1e3342"/>
                <w:sz w:val="24"/>
                <w:szCs w:val="24"/>
                <w:rtl w:val="0"/>
              </w:rPr>
              <w:t xml:space="preserve">Build on existing PCA effectiveness assessment frameworks, strengthen their focus on outcomes, and use the new IUCN Global Standard as a benchmark.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lin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ae6b" w:space="0" w:sz="3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4f3f8" w:val="clear"/>
            <w:tcMar>
              <w:top w:w="200.0" w:type="dxa"/>
              <w:left w:w="260.0" w:type="dxa"/>
              <w:bottom w:w="240.0" w:type="dxa"/>
              <w:right w:w="260.0" w:type="dxa"/>
            </w:tcMar>
          </w:tcPr>
          <w:p w:rsidR="00000000" w:rsidDel="00000000" w:rsidP="00000000" w:rsidRDefault="00000000" w:rsidRPr="00000000" w14:paraId="0000000F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4fae6b"/>
                <w:sz w:val="52"/>
                <w:szCs w:val="52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88" w:lineRule="auto"/>
              <w:rPr/>
            </w:pPr>
            <w:r w:rsidDel="00000000" w:rsidR="00000000" w:rsidRPr="00000000">
              <w:rPr>
                <w:color w:val="1e3342"/>
                <w:sz w:val="24"/>
                <w:szCs w:val="24"/>
                <w:rtl w:val="0"/>
              </w:rPr>
              <w:t xml:space="preserve">Systematically integrate effectiveness assessment into adaptive management of individual PCAs and national systems, using findings to guide decisions, actions and resource allocation.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line="34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466.0" w:type="dxa"/>
        <w:jc w:val="left"/>
        <w:tblInd w:w="72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966"/>
        <w:gridCol w:w="1500"/>
        <w:tblGridChange w:id="0">
          <w:tblGrid>
            <w:gridCol w:w="8966"/>
            <w:gridCol w:w="1500"/>
          </w:tblGrid>
        </w:tblGridChange>
      </w:tblGrid>
      <w:tr>
        <w:trPr>
          <w:cantSplit w:val="0"/>
          <w:trHeight w:val="62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1fb5d4" w:space="0" w:sz="1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spacing w:after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3c5d"/>
                <w:sz w:val="40"/>
                <w:szCs w:val="40"/>
                <w:rtl w:val="0"/>
              </w:rPr>
              <w:t xml:space="preserve">Resources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fb5d4" w:space="0" w:sz="1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32"/>
          <w:szCs w:val="32"/>
        </w:rPr>
      </w:pPr>
      <w:r w:rsidDel="00000000" w:rsidR="00000000" w:rsidRPr="00000000">
        <w:rPr>
          <w:color w:val="000000"/>
          <w:sz w:val="32"/>
          <w:szCs w:val="32"/>
          <w:rtl w:val="0"/>
        </w:rPr>
        <w:t xml:space="preserve">IUCN (2026). IUCN Global Standard for Effective and Equitable Protected and Conserved Areas.</w:t>
      </w:r>
      <w:hyperlink r:id="rId8">
        <w:r w:rsidDel="00000000" w:rsidR="00000000" w:rsidRPr="00000000">
          <w:rPr>
            <w:color w:val="007f9d"/>
            <w:u w:val="single"/>
            <w:rtl w:val="0"/>
          </w:rPr>
          <w:t xml:space="preserve">[URL]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32"/>
          <w:szCs w:val="32"/>
        </w:rPr>
      </w:pPr>
      <w:r w:rsidDel="00000000" w:rsidR="00000000" w:rsidRPr="00000000">
        <w:rPr>
          <w:color w:val="000000"/>
          <w:sz w:val="32"/>
          <w:szCs w:val="32"/>
          <w:rtl w:val="0"/>
        </w:rPr>
        <w:t xml:space="preserve">Salafsky et al. (2026). Improving Outcome-Based Effectiveness Assessments of Protected and Conserved Areas. IUCN WCPA Issues Paper 9.</w:t>
      </w:r>
      <w:hyperlink r:id="rId9">
        <w:r w:rsidDel="00000000" w:rsidR="00000000" w:rsidRPr="00000000">
          <w:rPr>
            <w:color w:val="007f9d"/>
            <w:u w:val="single"/>
            <w:rtl w:val="0"/>
          </w:rPr>
          <w:t xml:space="preserve">[URL]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32"/>
          <w:szCs w:val="32"/>
        </w:rPr>
      </w:pPr>
      <w:r w:rsidDel="00000000" w:rsidR="00000000" w:rsidRPr="00000000">
        <w:rPr>
          <w:color w:val="000000"/>
          <w:sz w:val="32"/>
          <w:szCs w:val="32"/>
          <w:rtl w:val="0"/>
        </w:rPr>
        <w:t xml:space="preserve">UNEP-WCMC (2025). GD-PAME User Manual, Version 2.0: Guidance on Reporting Effectiveness Data to Protected Planet.</w:t>
      </w:r>
      <w:hyperlink r:id="rId10">
        <w:r w:rsidDel="00000000" w:rsidR="00000000" w:rsidRPr="00000000">
          <w:rPr>
            <w:color w:val="007f9d"/>
            <w:u w:val="single"/>
            <w:rtl w:val="0"/>
          </w:rPr>
          <w:t xml:space="preserve">[URL]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32"/>
          <w:szCs w:val="32"/>
        </w:rPr>
      </w:pPr>
      <w:r w:rsidDel="00000000" w:rsidR="00000000" w:rsidRPr="00000000">
        <w:rPr>
          <w:color w:val="000000"/>
          <w:sz w:val="32"/>
          <w:szCs w:val="32"/>
          <w:rtl w:val="0"/>
        </w:rPr>
        <w:t xml:space="preserve">Hockings et al. (2006). Evaluating Effectiveness: A Framework for Assessing Management Effectiveness of Protected Areas. IUCN.</w:t>
      </w:r>
      <w:hyperlink r:id="rId11">
        <w:r w:rsidDel="00000000" w:rsidR="00000000" w:rsidRPr="00000000">
          <w:rPr>
            <w:color w:val="007f9d"/>
            <w:u w:val="single"/>
            <w:rtl w:val="0"/>
          </w:rPr>
          <w:t xml:space="preserve">[URL]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WWF International. </w:t>
      </w:r>
      <w:r w:rsidDel="00000000" w:rsidR="00000000" w:rsidRPr="00000000">
        <w:rPr>
          <w:color w:val="000000"/>
          <w:sz w:val="32"/>
          <w:szCs w:val="32"/>
          <w:rtl w:val="0"/>
        </w:rPr>
        <w:t xml:space="preserve">METT Handbook. A Guide to Using the Management Effectiveness Tracking Tool (METT) Second edition / METT-4. </w:t>
      </w:r>
      <w:r w:rsidDel="00000000" w:rsidR="00000000" w:rsidRPr="00000000">
        <w:rPr>
          <w:color w:val="007f9d"/>
          <w:u w:val="single"/>
          <w:rtl w:val="0"/>
        </w:rPr>
        <w:t xml:space="preserve">[</w:t>
      </w:r>
      <w:hyperlink r:id="rId12">
        <w:r w:rsidDel="00000000" w:rsidR="00000000" w:rsidRPr="00000000">
          <w:rPr>
            <w:color w:val="0563c1"/>
            <w:u w:val="single"/>
            <w:rtl w:val="0"/>
          </w:rPr>
          <w:t xml:space="preserve">URL</w:t>
        </w:r>
      </w:hyperlink>
      <w:r w:rsidDel="00000000" w:rsidR="00000000" w:rsidRPr="00000000">
        <w:rPr>
          <w:color w:val="007f9d"/>
          <w:u w:val="singl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32"/>
          <w:szCs w:val="32"/>
        </w:rPr>
      </w:pPr>
      <w:r w:rsidDel="00000000" w:rsidR="00000000" w:rsidRPr="00000000">
        <w:rPr>
          <w:color w:val="000000"/>
          <w:sz w:val="32"/>
          <w:szCs w:val="32"/>
          <w:rtl w:val="0"/>
        </w:rPr>
        <w:t xml:space="preserve">Conservation Measures Partnership (2020). Open Standards for the Practice of Conservation, Version 4.0.</w:t>
      </w:r>
      <w:hyperlink r:id="rId13">
        <w:r w:rsidDel="00000000" w:rsidR="00000000" w:rsidRPr="00000000">
          <w:rPr>
            <w:color w:val="007f9d"/>
            <w:u w:val="single"/>
            <w:rtl w:val="0"/>
          </w:rPr>
          <w:t xml:space="preserve">[URL]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13"/>
          <w:tab w:val="right" w:leader="none" w:pos="9026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41" w:rightFromText="141" w:topFromText="0" w:bottomFromText="0" w:vertAnchor="text" w:horzAnchor="text" w:tblpX="0" w:tblpY="0"/>
        <w:tblW w:w="11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934"/>
        <w:gridCol w:w="8946"/>
        <w:tblGridChange w:id="0">
          <w:tblGrid>
            <w:gridCol w:w="2934"/>
            <w:gridCol w:w="894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b3c5d" w:val="clear"/>
            <w:tcMar>
              <w:top w:w="160.0" w:type="dxa"/>
              <w:left w:w="360.0" w:type="dxa"/>
              <w:bottom w:w="16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40"/>
                <w:szCs w:val="40"/>
                <w:rtl w:val="0"/>
              </w:rPr>
              <w:t xml:space="preserve">Get in Touch!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1fb5d4" w:space="0" w:sz="24" w:val="single"/>
              <w:bottom w:color="000000" w:space="0" w:sz="0" w:val="nil"/>
              <w:right w:color="000000" w:space="0" w:sz="0" w:val="nil"/>
            </w:tcBorders>
            <w:shd w:fill="0b3c5d" w:val="clear"/>
            <w:tcMar>
              <w:top w:w="160.0" w:type="dxa"/>
              <w:left w:w="360.0" w:type="dxa"/>
              <w:bottom w:w="1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Tobias Garstecki (WCPA &amp; Re:wild) | tgarstecki@rewild.org</w:t>
            </w:r>
          </w:p>
          <w:p w:rsidR="00000000" w:rsidDel="00000000" w:rsidP="00000000" w:rsidRDefault="00000000" w:rsidRPr="00000000" w14:paraId="0000001F">
            <w:pPr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Paola Mejía Cortez (WCPA &amp; Foundations of Success) | paola@fosonline.org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For more information: </w:t>
            </w:r>
            <w:hyperlink r:id="rId14">
              <w:r w:rsidDel="00000000" w:rsidR="00000000" w:rsidRPr="00000000">
                <w:rPr>
                  <w:color w:val="0563c1"/>
                  <w:sz w:val="24"/>
                  <w:szCs w:val="24"/>
                  <w:u w:val="single"/>
                  <w:rtl w:val="0"/>
                </w:rPr>
                <w:t xml:space="preserve">https://www.30x30.solutions/</w:t>
              </w:r>
            </w:hyperlink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line="2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360" w:top="0" w:left="0" w:right="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i w:val="1"/>
      <w:iCs w:val="1"/>
      <w:color w:val="2e74b5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000000"/>
      <w:sz w:val="56"/>
      <w:szCs w:val="5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trong1" w:customStyle="1">
    <w:name w:val="Strong1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FootnoteReference">
    <w:name w:val="footnote reference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rPr>
      <w:sz w:val="20"/>
      <w:szCs w:val="20"/>
    </w:rPr>
  </w:style>
  <w:style w:type="character" w:styleId="EndnoteTextChar" w:customStyle="1">
    <w:name w:val="Endnote Text Char"/>
    <w:link w:val="EndnoteText"/>
    <w:uiPriority w:val="99"/>
    <w:semiHidden w:val="1"/>
    <w:unhideWhenUsed w:val="1"/>
    <w:rPr>
      <w:sz w:val="20"/>
      <w:szCs w:val="20"/>
    </w:rPr>
  </w:style>
  <w:style w:type="table" w:styleId="a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E35D7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5E35D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8A521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A5211"/>
  </w:style>
  <w:style w:type="paragraph" w:styleId="Footer">
    <w:name w:val="footer"/>
    <w:basedOn w:val="Normal"/>
    <w:link w:val="FooterChar"/>
    <w:uiPriority w:val="99"/>
    <w:unhideWhenUsed w:val="1"/>
    <w:rsid w:val="008A521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A5211"/>
  </w:style>
  <w:style w:type="table" w:styleId="a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i.org/10.2305/IUCN.CH.2006.PAG.14.en" TargetMode="External"/><Relationship Id="rId10" Type="http://schemas.openxmlformats.org/officeDocument/2006/relationships/hyperlink" Target="https://www.protectedplanet.net/en/resources/guidance-on-reporting-effectiveness-data-to-protected-planet" TargetMode="External"/><Relationship Id="rId13" Type="http://schemas.openxmlformats.org/officeDocument/2006/relationships/hyperlink" Target="https://www.conservationstandards.org/" TargetMode="External"/><Relationship Id="rId12" Type="http://schemas.openxmlformats.org/officeDocument/2006/relationships/hyperlink" Target="https://wdpa.s3.eu-west-1.amazonaws.com/PAME/METT/METT_4_Handbook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pipap.sprep.org/content/improving-outcome-based-effectiveness-assessments-protected-and-conserved-areas" TargetMode="External"/><Relationship Id="rId14" Type="http://schemas.openxmlformats.org/officeDocument/2006/relationships/hyperlink" Target="https://www.30x30.solution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iucn.org/resources/publication/iucn-global-standard-effective-and-equitable-protected-and-conserved-area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FSOVElJeD4HoRpGscp/sibffxQ==">CgMxLjA4AHIhMWNUU1UtMHlfcnJheThGZ0xpTTQ5VlVaYWxSWWhUN29S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2026-10-23T13:11:00Z</dcterms:created>
  <dc:creator>COP17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0x0101005CF94615F337A049B08447701D0DAFF9</vt:lpwstr>
  </property>
</Properties>
</file>