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190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8506"/>
        <w:gridCol w:w="3400"/>
        <w:tblGridChange w:id="0">
          <w:tblGrid>
            <w:gridCol w:w="8506"/>
            <w:gridCol w:w="3400"/>
          </w:tblGrid>
        </w:tblGridChange>
      </w:tblGrid>
      <w:tr>
        <w:trPr>
          <w:cantSplit w:val="0"/>
          <w:trHeight w:val="2455" w:hRule="atLeast"/>
          <w:tblHeader w:val="0"/>
        </w:trPr>
        <w:tc>
          <w:tcPr>
            <w:tcBorders>
              <w:top w:color="000000" w:space="0" w:sz="0" w:val="nil"/>
              <w:left w:color="000000" w:space="0" w:sz="0" w:val="nil"/>
              <w:bottom w:color="1fb5d4" w:space="0" w:sz="36" w:val="single"/>
              <w:right w:color="000000" w:space="0" w:sz="0" w:val="nil"/>
            </w:tcBorders>
            <w:shd w:fill="0b3c5d" w:val="clear"/>
            <w:tcMar>
              <w:top w:w="200.0" w:type="dxa"/>
              <w:left w:w="720.0" w:type="dxa"/>
              <w:bottom w:w="200.0" w:type="dxa"/>
              <w:right w:w="400.0" w:type="dxa"/>
            </w:tcMar>
            <w:vAlign w:val="center"/>
          </w:tcPr>
          <w:p w:rsidR="00000000" w:rsidDel="00000000" w:rsidP="00000000" w:rsidRDefault="00000000" w:rsidRPr="00000000" w14:paraId="00000002">
            <w:pPr>
              <w:spacing w:after="120" w:lineRule="auto"/>
              <w:rPr>
                <w:sz w:val="18"/>
                <w:szCs w:val="18"/>
              </w:rPr>
            </w:pPr>
            <w:r w:rsidDel="00000000" w:rsidR="00000000" w:rsidRPr="00000000">
              <w:rPr>
                <w:b w:val="1"/>
                <w:bCs w:val="1"/>
                <w:color w:val="ffffff"/>
                <w:sz w:val="52"/>
                <w:szCs w:val="52"/>
                <w:rtl w:val="0"/>
              </w:rPr>
              <w:t xml:space="preserve">COP 17 TARGET 3 ACTION DAY MARKETPLACE</w:t>
            </w:r>
            <w:r w:rsidDel="00000000" w:rsidR="00000000" w:rsidRPr="00000000">
              <w:rPr>
                <w:rtl w:val="0"/>
              </w:rPr>
            </w:r>
          </w:p>
          <w:p w:rsidR="00000000" w:rsidDel="00000000" w:rsidP="00000000" w:rsidRDefault="00000000" w:rsidRPr="00000000" w14:paraId="00000003">
            <w:pPr>
              <w:rPr>
                <w:sz w:val="14"/>
                <w:szCs w:val="14"/>
              </w:rPr>
            </w:pPr>
            <w:r w:rsidDel="00000000" w:rsidR="00000000" w:rsidRPr="00000000">
              <w:rPr>
                <w:color w:val="a8e1f0"/>
                <w:sz w:val="40"/>
                <w:szCs w:val="40"/>
                <w:rtl w:val="0"/>
              </w:rPr>
              <w:t xml:space="preserve">STATION NAME: </w:t>
            </w:r>
            <w:r w:rsidDel="00000000" w:rsidR="00000000" w:rsidRPr="00000000">
              <w:rPr>
                <w:color w:val="a8e1f0"/>
                <w:sz w:val="32"/>
                <w:szCs w:val="32"/>
                <w:rtl w:val="0"/>
              </w:rPr>
              <w:t xml:space="preserve">Ranger and Conservation Workforce</w:t>
            </w:r>
            <w:r w:rsidDel="00000000" w:rsidR="00000000" w:rsidRPr="00000000">
              <w:rPr>
                <w:rtl w:val="0"/>
              </w:rPr>
            </w:r>
          </w:p>
        </w:tc>
        <w:tc>
          <w:tcPr>
            <w:tcBorders>
              <w:top w:color="000000" w:space="0" w:sz="0" w:val="nil"/>
              <w:left w:color="000000" w:space="0" w:sz="0" w:val="nil"/>
              <w:bottom w:color="1fb5d4" w:space="0" w:sz="3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04">
            <w:pPr>
              <w:jc w:val="center"/>
              <w:rPr/>
            </w:pPr>
            <w:r w:rsidDel="00000000" w:rsidR="00000000" w:rsidRPr="00000000">
              <w:rPr/>
              <w:drawing>
                <wp:inline distB="0" distT="0" distL="0" distR="0">
                  <wp:extent cx="952500" cy="1447800"/>
                  <wp:effectExtent b="0" l="0" r="0" t="0"/>
                  <wp:docPr descr="COP17 Yerevan, Armenia - Taking Action for Nature" id="5" name="image1.png"/>
                  <a:graphic>
                    <a:graphicData uri="http://schemas.openxmlformats.org/drawingml/2006/picture">
                      <pic:pic>
                        <pic:nvPicPr>
                          <pic:cNvPr descr="COP17 Yerevan, Armenia - Taking Action for Nature" id="0" name="image1.png"/>
                          <pic:cNvPicPr preferRelativeResize="0"/>
                        </pic:nvPicPr>
                        <pic:blipFill>
                          <a:blip r:embed="rId7"/>
                          <a:srcRect b="0" l="0" r="0" t="0"/>
                          <a:stretch>
                            <a:fillRect/>
                          </a:stretch>
                        </pic:blipFill>
                        <pic:spPr>
                          <a:xfrm>
                            <a:off x="0" y="0"/>
                            <a:ext cx="952500" cy="14478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spacing w:line="340" w:lineRule="auto"/>
        <w:rPr>
          <w:i w:val="1"/>
          <w:iCs w:val="1"/>
          <w:color w:val="ff0000"/>
        </w:rPr>
      </w:pPr>
      <w:r w:rsidDel="00000000" w:rsidR="00000000" w:rsidRPr="00000000">
        <w:rPr>
          <w:rtl w:val="0"/>
        </w:rPr>
      </w:r>
    </w:p>
    <w:tbl>
      <w:tblPr>
        <w:tblStyle w:val="Table2"/>
        <w:tblW w:w="10466.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8966"/>
        <w:gridCol w:w="1500"/>
        <w:tblGridChange w:id="0">
          <w:tblGrid>
            <w:gridCol w:w="8966"/>
            <w:gridCol w:w="1500"/>
          </w:tblGrid>
        </w:tblGridChange>
      </w:tblGrid>
      <w:tr>
        <w:trPr>
          <w:cantSplit w:val="0"/>
          <w:trHeight w:val="293.28124999999994" w:hRule="atLeast"/>
          <w:tblHeader w:val="0"/>
        </w:trPr>
        <w:tc>
          <w:tcPr>
            <w:tcBorders>
              <w:top w:color="000000" w:space="0" w:sz="0" w:val="nil"/>
              <w:left w:color="000000" w:space="0" w:sz="0" w:val="nil"/>
              <w:bottom w:color="1fb5d4" w:space="0" w:sz="18"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06">
            <w:pPr>
              <w:spacing w:after="60" w:lineRule="auto"/>
              <w:rPr>
                <w:sz w:val="14"/>
                <w:szCs w:val="14"/>
              </w:rPr>
            </w:pPr>
            <w:r w:rsidDel="00000000" w:rsidR="00000000" w:rsidRPr="00000000">
              <w:rPr>
                <w:b w:val="1"/>
                <w:bCs w:val="1"/>
                <w:color w:val="0b3c5d"/>
                <w:sz w:val="36"/>
                <w:szCs w:val="36"/>
                <w:rtl w:val="0"/>
              </w:rPr>
              <w:t xml:space="preserve">Key Messages</w:t>
            </w:r>
            <w:r w:rsidDel="00000000" w:rsidR="00000000" w:rsidRPr="00000000">
              <w:rPr>
                <w:rtl w:val="0"/>
              </w:rPr>
            </w:r>
          </w:p>
        </w:tc>
        <w:tc>
          <w:tcPr>
            <w:tcBorders>
              <w:top w:color="000000" w:space="0" w:sz="0" w:val="nil"/>
              <w:left w:color="000000" w:space="0" w:sz="0" w:val="nil"/>
              <w:bottom w:color="1fb5d4" w:space="0" w:sz="18"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07">
            <w:pPr>
              <w:jc w:val="right"/>
              <w:rPr/>
            </w:pPr>
            <w:r w:rsidDel="00000000" w:rsidR="00000000" w:rsidRPr="00000000">
              <w:rPr>
                <w:rtl w:val="0"/>
              </w:rPr>
            </w:r>
          </w:p>
        </w:tc>
      </w:tr>
    </w:tbl>
    <w:p w:rsidR="00000000" w:rsidDel="00000000" w:rsidP="00000000" w:rsidRDefault="00000000" w:rsidRPr="00000000" w14:paraId="00000008">
      <w:pPr>
        <w:rPr/>
      </w:pPr>
      <w:r w:rsidDel="00000000" w:rsidR="00000000" w:rsidRPr="00000000">
        <w:rPr>
          <w:rtl w:val="0"/>
        </w:rPr>
      </w:r>
    </w:p>
    <w:tbl>
      <w:tblPr>
        <w:tblStyle w:val="Table3"/>
        <w:tblW w:w="10650.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3435"/>
        <w:gridCol w:w="135"/>
        <w:gridCol w:w="3375"/>
        <w:gridCol w:w="195"/>
        <w:gridCol w:w="3510"/>
        <w:tblGridChange w:id="0">
          <w:tblGrid>
            <w:gridCol w:w="3435"/>
            <w:gridCol w:w="135"/>
            <w:gridCol w:w="3375"/>
            <w:gridCol w:w="195"/>
            <w:gridCol w:w="3510"/>
          </w:tblGrid>
        </w:tblGridChange>
      </w:tblGrid>
      <w:tr>
        <w:trPr>
          <w:cantSplit w:val="0"/>
          <w:trHeight w:val="6630" w:hRule="atLeast"/>
          <w:tblHeader w:val="0"/>
        </w:trPr>
        <w:tc>
          <w:tcPr>
            <w:tcBorders>
              <w:top w:color="e8823c" w:space="0" w:sz="36" w:val="single"/>
              <w:left w:color="000000" w:space="0" w:sz="0" w:val="nil"/>
              <w:bottom w:color="000000" w:space="0" w:sz="0" w:val="nil"/>
              <w:right w:color="000000" w:space="0" w:sz="0" w:val="nil"/>
            </w:tcBorders>
            <w:shd w:fill="e4f3f8" w:val="clear"/>
            <w:tcMar>
              <w:top w:w="200.0" w:type="dxa"/>
              <w:left w:w="260.0" w:type="dxa"/>
              <w:bottom w:w="240.0" w:type="dxa"/>
              <w:right w:w="260.0" w:type="dxa"/>
            </w:tcMar>
          </w:tcPr>
          <w:p w:rsidR="00000000" w:rsidDel="00000000" w:rsidP="00000000" w:rsidRDefault="00000000" w:rsidRPr="00000000" w14:paraId="00000009">
            <w:pPr>
              <w:spacing w:after="80" w:lineRule="auto"/>
              <w:rPr>
                <w:sz w:val="20"/>
                <w:szCs w:val="20"/>
              </w:rPr>
            </w:pPr>
            <w:r w:rsidDel="00000000" w:rsidR="00000000" w:rsidRPr="00000000">
              <w:rPr>
                <w:b w:val="1"/>
                <w:bCs w:val="1"/>
                <w:color w:val="e8823c"/>
                <w:sz w:val="50"/>
                <w:szCs w:val="50"/>
                <w:rtl w:val="0"/>
              </w:rPr>
              <w:t xml:space="preserve">01</w:t>
            </w:r>
            <w:r w:rsidDel="00000000" w:rsidR="00000000" w:rsidRPr="00000000">
              <w:rPr>
                <w:rtl w:val="0"/>
              </w:rPr>
            </w:r>
          </w:p>
          <w:p w:rsidR="00000000" w:rsidDel="00000000" w:rsidP="00000000" w:rsidRDefault="00000000" w:rsidRPr="00000000" w14:paraId="0000000A">
            <w:pPr>
              <w:spacing w:line="276" w:lineRule="auto"/>
              <w:rPr>
                <w:color w:val="1e3342"/>
              </w:rPr>
            </w:pPr>
            <w:r w:rsidDel="00000000" w:rsidR="00000000" w:rsidRPr="00000000">
              <w:rPr>
                <w:color w:val="1e3342"/>
                <w:rtl w:val="0"/>
              </w:rPr>
              <w:t xml:space="preserve">We need 1.2 million more rangers to reach Target 3. Yet, the CBD framework mentions area 300x more often than it talks about the people needed to protect it. Less than half of NBSAPs are integrating rangers into future planning. Global health frameworks mention health workers 130x more often than the CBD mentions its main workforce.</w:t>
            </w:r>
          </w:p>
          <w:p w:rsidR="00000000" w:rsidDel="00000000" w:rsidP="00000000" w:rsidRDefault="00000000" w:rsidRPr="00000000" w14:paraId="0000000B">
            <w:pPr>
              <w:spacing w:line="276" w:lineRule="auto"/>
              <w:rPr>
                <w:color w:val="1e3342"/>
              </w:rPr>
            </w:pPr>
            <w:r w:rsidDel="00000000" w:rsidR="00000000" w:rsidRPr="00000000">
              <w:rPr>
                <w:rtl w:val="0"/>
              </w:rPr>
            </w:r>
          </w:p>
          <w:p w:rsidR="00000000" w:rsidDel="00000000" w:rsidP="00000000" w:rsidRDefault="00000000" w:rsidRPr="00000000" w14:paraId="0000000C">
            <w:pPr>
              <w:spacing w:line="276" w:lineRule="auto"/>
              <w:rPr>
                <w:color w:val="1e3342"/>
              </w:rPr>
            </w:pPr>
            <w:r w:rsidDel="00000000" w:rsidR="00000000" w:rsidRPr="00000000">
              <w:rPr>
                <w:color w:val="1e3342"/>
                <w:rtl w:val="0"/>
              </w:rPr>
              <w:t xml:space="preserve">We cannot reach Target 3 with this blindspot.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0D">
            <w:pPr>
              <w:spacing w:line="20" w:lineRule="auto"/>
              <w:rPr/>
            </w:pPr>
            <w:r w:rsidDel="00000000" w:rsidR="00000000" w:rsidRPr="00000000">
              <w:rPr>
                <w:rtl w:val="0"/>
              </w:rPr>
            </w:r>
          </w:p>
        </w:tc>
        <w:tc>
          <w:tcPr>
            <w:tcBorders>
              <w:top w:color="b4519a" w:space="0" w:sz="36" w:val="single"/>
              <w:left w:color="000000" w:space="0" w:sz="0" w:val="nil"/>
              <w:bottom w:color="000000" w:space="0" w:sz="0" w:val="nil"/>
              <w:right w:color="000000" w:space="0" w:sz="0" w:val="nil"/>
            </w:tcBorders>
            <w:shd w:fill="e4f3f8" w:val="clear"/>
            <w:tcMar>
              <w:top w:w="200.0" w:type="dxa"/>
              <w:left w:w="260.0" w:type="dxa"/>
              <w:bottom w:w="240.0" w:type="dxa"/>
              <w:right w:w="260.0" w:type="dxa"/>
            </w:tcMar>
          </w:tcPr>
          <w:p w:rsidR="00000000" w:rsidDel="00000000" w:rsidP="00000000" w:rsidRDefault="00000000" w:rsidRPr="00000000" w14:paraId="0000000E">
            <w:pPr>
              <w:spacing w:after="80" w:lineRule="auto"/>
              <w:rPr>
                <w:sz w:val="20"/>
                <w:szCs w:val="20"/>
              </w:rPr>
            </w:pPr>
            <w:r w:rsidDel="00000000" w:rsidR="00000000" w:rsidRPr="00000000">
              <w:rPr>
                <w:b w:val="1"/>
                <w:bCs w:val="1"/>
                <w:color w:val="b4519a"/>
                <w:sz w:val="50"/>
                <w:szCs w:val="50"/>
                <w:rtl w:val="0"/>
              </w:rPr>
              <w:t xml:space="preserve">02</w:t>
            </w:r>
            <w:r w:rsidDel="00000000" w:rsidR="00000000" w:rsidRPr="00000000">
              <w:rPr>
                <w:rtl w:val="0"/>
              </w:rPr>
            </w:r>
          </w:p>
          <w:p w:rsidR="00000000" w:rsidDel="00000000" w:rsidP="00000000" w:rsidRDefault="00000000" w:rsidRPr="00000000" w14:paraId="0000000F">
            <w:pPr>
              <w:spacing w:line="276" w:lineRule="auto"/>
              <w:rPr>
                <w:color w:val="1e3342"/>
              </w:rPr>
            </w:pPr>
            <w:r w:rsidDel="00000000" w:rsidR="00000000" w:rsidRPr="00000000">
              <w:rPr>
                <w:color w:val="1e3342"/>
                <w:rtl w:val="0"/>
              </w:rPr>
              <w:t xml:space="preserve">We need to center rangers in global environmental governance:</w:t>
            </w:r>
          </w:p>
          <w:p w:rsidR="00000000" w:rsidDel="00000000" w:rsidP="00000000" w:rsidRDefault="00000000" w:rsidRPr="00000000" w14:paraId="00000010">
            <w:pPr>
              <w:numPr>
                <w:ilvl w:val="0"/>
                <w:numId w:val="1"/>
              </w:numPr>
              <w:spacing w:line="276" w:lineRule="auto"/>
              <w:ind w:left="720" w:hanging="360"/>
              <w:rPr>
                <w:color w:val="1e3342"/>
              </w:rPr>
            </w:pPr>
            <w:r w:rsidDel="00000000" w:rsidR="00000000" w:rsidRPr="00000000">
              <w:rPr>
                <w:color w:val="1e3342"/>
                <w:rtl w:val="0"/>
              </w:rPr>
              <w:t xml:space="preserve">Rangers codified into NBSAP requirements (with targets on numbers, training and conditions)</w:t>
            </w:r>
            <w:r w:rsidDel="00000000" w:rsidR="00000000" w:rsidRPr="00000000">
              <w:rPr>
                <w:rtl w:val="0"/>
              </w:rPr>
            </w:r>
          </w:p>
          <w:p w:rsidR="00000000" w:rsidDel="00000000" w:rsidP="00000000" w:rsidRDefault="00000000" w:rsidRPr="00000000" w14:paraId="00000011">
            <w:pPr>
              <w:numPr>
                <w:ilvl w:val="0"/>
                <w:numId w:val="1"/>
              </w:numPr>
              <w:spacing w:line="276" w:lineRule="auto"/>
              <w:ind w:left="720" w:hanging="360"/>
              <w:rPr>
                <w:color w:val="1e3342"/>
              </w:rPr>
            </w:pPr>
            <w:r w:rsidDel="00000000" w:rsidR="00000000" w:rsidRPr="00000000">
              <w:rPr>
                <w:color w:val="1e3342"/>
                <w:rtl w:val="0"/>
              </w:rPr>
              <w:t xml:space="preserve">Rangers embedded into the PoWPA</w:t>
            </w:r>
            <w:r w:rsidDel="00000000" w:rsidR="00000000" w:rsidRPr="00000000">
              <w:rPr>
                <w:rtl w:val="0"/>
              </w:rPr>
            </w:r>
          </w:p>
          <w:p w:rsidR="00000000" w:rsidDel="00000000" w:rsidP="00000000" w:rsidRDefault="00000000" w:rsidRPr="00000000" w14:paraId="00000012">
            <w:pPr>
              <w:numPr>
                <w:ilvl w:val="0"/>
                <w:numId w:val="1"/>
              </w:numPr>
              <w:spacing w:line="276" w:lineRule="auto"/>
              <w:ind w:left="720" w:hanging="360"/>
              <w:rPr>
                <w:color w:val="1e3342"/>
              </w:rPr>
            </w:pPr>
            <w:r w:rsidDel="00000000" w:rsidR="00000000" w:rsidRPr="00000000">
              <w:rPr>
                <w:color w:val="1e3342"/>
                <w:rtl w:val="0"/>
              </w:rPr>
              <w:t xml:space="preserve">More rangers invited, supported and funded to attend and speak at COP</w:t>
            </w:r>
            <w:r w:rsidDel="00000000" w:rsidR="00000000" w:rsidRPr="00000000">
              <w:rPr>
                <w:rtl w:val="0"/>
              </w:rPr>
            </w:r>
          </w:p>
          <w:p w:rsidR="00000000" w:rsidDel="00000000" w:rsidP="00000000" w:rsidRDefault="00000000" w:rsidRPr="00000000" w14:paraId="00000013">
            <w:pPr>
              <w:numPr>
                <w:ilvl w:val="0"/>
                <w:numId w:val="1"/>
              </w:numPr>
              <w:spacing w:line="276" w:lineRule="auto"/>
              <w:ind w:left="720" w:hanging="360"/>
              <w:rPr>
                <w:color w:val="1e3342"/>
              </w:rPr>
            </w:pPr>
            <w:r w:rsidDel="00000000" w:rsidR="00000000" w:rsidRPr="00000000">
              <w:rPr>
                <w:color w:val="1e3342"/>
                <w:rtl w:val="0"/>
              </w:rPr>
              <w:t xml:space="preserve">Rangers must be seen as a tool for PCA effectiveness and not a nice to have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14">
            <w:pPr>
              <w:spacing w:line="20" w:lineRule="auto"/>
              <w:rPr>
                <w:sz w:val="20"/>
                <w:szCs w:val="20"/>
              </w:rPr>
            </w:pPr>
            <w:r w:rsidDel="00000000" w:rsidR="00000000" w:rsidRPr="00000000">
              <w:rPr>
                <w:rtl w:val="0"/>
              </w:rPr>
            </w:r>
          </w:p>
        </w:tc>
        <w:tc>
          <w:tcPr>
            <w:tcBorders>
              <w:top w:color="4fae6b" w:space="0" w:sz="36" w:val="single"/>
              <w:left w:color="000000" w:space="0" w:sz="0" w:val="nil"/>
              <w:bottom w:color="000000" w:space="0" w:sz="0" w:val="nil"/>
              <w:right w:color="000000" w:space="0" w:sz="0" w:val="nil"/>
            </w:tcBorders>
            <w:shd w:fill="e4f3f8" w:val="clear"/>
            <w:tcMar>
              <w:top w:w="200.0" w:type="dxa"/>
              <w:left w:w="260.0" w:type="dxa"/>
              <w:bottom w:w="240.0" w:type="dxa"/>
              <w:right w:w="260.0" w:type="dxa"/>
            </w:tcMar>
          </w:tcPr>
          <w:p w:rsidR="00000000" w:rsidDel="00000000" w:rsidP="00000000" w:rsidRDefault="00000000" w:rsidRPr="00000000" w14:paraId="00000015">
            <w:pPr>
              <w:spacing w:after="80" w:lineRule="auto"/>
              <w:rPr>
                <w:sz w:val="20"/>
                <w:szCs w:val="20"/>
              </w:rPr>
            </w:pPr>
            <w:r w:rsidDel="00000000" w:rsidR="00000000" w:rsidRPr="00000000">
              <w:rPr>
                <w:b w:val="1"/>
                <w:bCs w:val="1"/>
                <w:color w:val="4fae6b"/>
                <w:sz w:val="50"/>
                <w:szCs w:val="50"/>
                <w:rtl w:val="0"/>
              </w:rPr>
              <w:t xml:space="preserve">03</w:t>
            </w:r>
            <w:r w:rsidDel="00000000" w:rsidR="00000000" w:rsidRPr="00000000">
              <w:rPr>
                <w:rtl w:val="0"/>
              </w:rPr>
            </w:r>
          </w:p>
          <w:p w:rsidR="00000000" w:rsidDel="00000000" w:rsidP="00000000" w:rsidRDefault="00000000" w:rsidRPr="00000000" w14:paraId="00000016">
            <w:pPr>
              <w:spacing w:line="276" w:lineRule="auto"/>
              <w:rPr>
                <w:color w:val="1e3342"/>
              </w:rPr>
            </w:pPr>
            <w:r w:rsidDel="00000000" w:rsidR="00000000" w:rsidRPr="00000000">
              <w:rPr>
                <w:b w:val="1"/>
                <w:bCs w:val="1"/>
                <w:color w:val="1e3342"/>
                <w:rtl w:val="0"/>
              </w:rPr>
              <w:t xml:space="preserve">Ministries</w:t>
            </w:r>
            <w:r w:rsidDel="00000000" w:rsidR="00000000" w:rsidRPr="00000000">
              <w:rPr>
                <w:color w:val="1e3342"/>
                <w:rtl w:val="0"/>
              </w:rPr>
              <w:t xml:space="preserve">: Don’t wait for global guidance: start to embed rangers in your own NBSAPs now.</w:t>
            </w:r>
          </w:p>
          <w:p w:rsidR="00000000" w:rsidDel="00000000" w:rsidP="00000000" w:rsidRDefault="00000000" w:rsidRPr="00000000" w14:paraId="00000017">
            <w:pPr>
              <w:spacing w:line="276" w:lineRule="auto"/>
              <w:rPr>
                <w:color w:val="1e3342"/>
              </w:rPr>
            </w:pPr>
            <w:r w:rsidDel="00000000" w:rsidR="00000000" w:rsidRPr="00000000">
              <w:rPr>
                <w:b w:val="1"/>
                <w:bCs w:val="1"/>
                <w:color w:val="1e3342"/>
                <w:rtl w:val="0"/>
              </w:rPr>
              <w:t xml:space="preserve">Donors: </w:t>
            </w:r>
            <w:r w:rsidDel="00000000" w:rsidR="00000000" w:rsidRPr="00000000">
              <w:rPr>
                <w:color w:val="1e3342"/>
                <w:rtl w:val="0"/>
              </w:rPr>
              <w:t xml:space="preserve">more joined up thinking, help fund long-term ranger solutions including training, equipment. </w:t>
            </w:r>
          </w:p>
          <w:p w:rsidR="00000000" w:rsidDel="00000000" w:rsidP="00000000" w:rsidRDefault="00000000" w:rsidRPr="00000000" w14:paraId="00000018">
            <w:pPr>
              <w:spacing w:line="276" w:lineRule="auto"/>
              <w:rPr>
                <w:color w:val="1e3342"/>
              </w:rPr>
            </w:pPr>
            <w:r w:rsidDel="00000000" w:rsidR="00000000" w:rsidRPr="00000000">
              <w:rPr>
                <w:b w:val="1"/>
                <w:bCs w:val="1"/>
                <w:color w:val="1e3342"/>
                <w:rtl w:val="0"/>
              </w:rPr>
              <w:t xml:space="preserve">iNGOs: </w:t>
            </w:r>
            <w:r w:rsidDel="00000000" w:rsidR="00000000" w:rsidRPr="00000000">
              <w:rPr>
                <w:color w:val="1e3342"/>
                <w:rtl w:val="0"/>
              </w:rPr>
              <w:t xml:space="preserve">Join URSA and work with other iNGOs to support rangers globally with clear global standards</w:t>
            </w:r>
          </w:p>
          <w:p w:rsidR="00000000" w:rsidDel="00000000" w:rsidP="00000000" w:rsidRDefault="00000000" w:rsidRPr="00000000" w14:paraId="00000019">
            <w:pPr>
              <w:spacing w:line="276" w:lineRule="auto"/>
              <w:rPr>
                <w:color w:val="1e3342"/>
              </w:rPr>
            </w:pPr>
            <w:r w:rsidDel="00000000" w:rsidR="00000000" w:rsidRPr="00000000">
              <w:rPr>
                <w:b w:val="1"/>
                <w:bCs w:val="1"/>
                <w:color w:val="1e3342"/>
                <w:rtl w:val="0"/>
              </w:rPr>
              <w:t xml:space="preserve">Corporates:</w:t>
            </w:r>
            <w:r w:rsidDel="00000000" w:rsidR="00000000" w:rsidRPr="00000000">
              <w:rPr>
                <w:color w:val="1e3342"/>
                <w:rtl w:val="0"/>
              </w:rPr>
              <w:t xml:space="preserve"> Use sustainability and CSR programs to support ranger recruitment, training and wellbeing. </w:t>
            </w:r>
          </w:p>
        </w:tc>
      </w:tr>
    </w:tbl>
    <w:p w:rsidR="00000000" w:rsidDel="00000000" w:rsidP="00000000" w:rsidRDefault="00000000" w:rsidRPr="00000000" w14:paraId="0000001A">
      <w:pPr>
        <w:spacing w:line="340" w:lineRule="auto"/>
        <w:rPr/>
      </w:pPr>
      <w:r w:rsidDel="00000000" w:rsidR="00000000" w:rsidRPr="00000000">
        <w:rPr>
          <w:rtl w:val="0"/>
        </w:rPr>
      </w:r>
    </w:p>
    <w:tbl>
      <w:tblPr>
        <w:tblStyle w:val="Table4"/>
        <w:tblW w:w="10466.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8966"/>
        <w:gridCol w:w="1500"/>
        <w:tblGridChange w:id="0">
          <w:tblGrid>
            <w:gridCol w:w="8966"/>
            <w:gridCol w:w="1500"/>
          </w:tblGrid>
        </w:tblGridChange>
      </w:tblGrid>
      <w:tr>
        <w:trPr>
          <w:cantSplit w:val="0"/>
          <w:trHeight w:val="293.28124999999994" w:hRule="atLeast"/>
          <w:tblHeader w:val="0"/>
        </w:trPr>
        <w:tc>
          <w:tcPr>
            <w:tcBorders>
              <w:top w:color="000000" w:space="0" w:sz="0" w:val="nil"/>
              <w:left w:color="000000" w:space="0" w:sz="0" w:val="nil"/>
              <w:bottom w:color="1fb5d4" w:space="0" w:sz="18"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1B">
            <w:pPr>
              <w:spacing w:after="60" w:lineRule="auto"/>
              <w:rPr>
                <w:sz w:val="14"/>
                <w:szCs w:val="14"/>
              </w:rPr>
            </w:pPr>
            <w:r w:rsidDel="00000000" w:rsidR="00000000" w:rsidRPr="00000000">
              <w:rPr>
                <w:b w:val="1"/>
                <w:bCs w:val="1"/>
                <w:color w:val="0b3c5d"/>
                <w:sz w:val="36"/>
                <w:szCs w:val="36"/>
                <w:rtl w:val="0"/>
              </w:rPr>
              <w:t xml:space="preserve">Resources</w:t>
            </w:r>
            <w:r w:rsidDel="00000000" w:rsidR="00000000" w:rsidRPr="00000000">
              <w:rPr>
                <w:rtl w:val="0"/>
              </w:rPr>
            </w:r>
          </w:p>
        </w:tc>
        <w:tc>
          <w:tcPr>
            <w:tcBorders>
              <w:top w:color="000000" w:space="0" w:sz="0" w:val="nil"/>
              <w:left w:color="000000" w:space="0" w:sz="0" w:val="nil"/>
              <w:bottom w:color="1fb5d4" w:space="0" w:sz="18"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1C">
            <w:pPr>
              <w:jc w:val="right"/>
              <w:rPr/>
            </w:pPr>
            <w:r w:rsidDel="00000000" w:rsidR="00000000" w:rsidRPr="00000000">
              <w:rPr>
                <w:rtl w:val="0"/>
              </w:rPr>
            </w:r>
          </w:p>
        </w:tc>
      </w:tr>
    </w:tbl>
    <w:p w:rsidR="00000000" w:rsidDel="00000000" w:rsidP="00000000" w:rsidRDefault="00000000" w:rsidRPr="00000000" w14:paraId="0000001D">
      <w:pPr>
        <w:rPr>
          <w:sz w:val="32"/>
          <w:szCs w:val="32"/>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shd w:fill="auto" w:val="clear"/>
          <w:vertAlign w:val="baseline"/>
        </w:rPr>
      </w:pPr>
      <w:r w:rsidDel="00000000" w:rsidR="00000000" w:rsidRPr="00000000">
        <w:rPr>
          <w:sz w:val="24"/>
          <w:szCs w:val="24"/>
          <w:rtl w:val="0"/>
        </w:rPr>
        <w:t xml:space="preserve">Ranger Professionalization Toolbox Notes on </w:t>
      </w:r>
      <w:hyperlink r:id="rId8">
        <w:r w:rsidDel="00000000" w:rsidR="00000000" w:rsidRPr="00000000">
          <w:rPr>
            <w:b w:val="1"/>
            <w:bCs w:val="1"/>
            <w:color w:val="1155cc"/>
            <w:sz w:val="24"/>
            <w:szCs w:val="24"/>
            <w:u w:val="single"/>
            <w:rtl w:val="0"/>
          </w:rPr>
          <w:t xml:space="preserve">Competences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F">
      <w:pPr>
        <w:numPr>
          <w:ilvl w:val="0"/>
          <w:numId w:val="2"/>
        </w:numPr>
        <w:ind w:left="1440" w:hanging="360"/>
        <w:rPr>
          <w:sz w:val="24"/>
          <w:szCs w:val="24"/>
        </w:rPr>
      </w:pPr>
      <w:r w:rsidDel="00000000" w:rsidR="00000000" w:rsidRPr="00000000">
        <w:rPr>
          <w:sz w:val="24"/>
          <w:szCs w:val="24"/>
          <w:rtl w:val="0"/>
        </w:rPr>
        <w:t xml:space="preserve">Ranger Professionalization Toolbox Notes on </w:t>
      </w:r>
      <w:hyperlink r:id="rId9">
        <w:r w:rsidDel="00000000" w:rsidR="00000000" w:rsidRPr="00000000">
          <w:rPr>
            <w:b w:val="1"/>
            <w:bCs w:val="1"/>
            <w:color w:val="1155cc"/>
            <w:sz w:val="24"/>
            <w:szCs w:val="24"/>
            <w:u w:val="single"/>
            <w:rtl w:val="0"/>
          </w:rPr>
          <w:t xml:space="preserve">Conditions</w:t>
        </w:r>
      </w:hyperlink>
      <w:hyperlink r:id="rId10">
        <w:r w:rsidDel="00000000" w:rsidR="00000000" w:rsidRPr="00000000">
          <w:rPr>
            <w:color w:val="1155cc"/>
            <w:sz w:val="24"/>
            <w:szCs w:val="24"/>
            <w:u w:val="single"/>
            <w:rtl w:val="0"/>
          </w:rPr>
          <w:t xml:space="preserve"> </w:t>
        </w:r>
      </w:hyperlink>
      <w:r w:rsidDel="00000000" w:rsidR="00000000" w:rsidRPr="00000000">
        <w:rPr>
          <w:rtl w:val="0"/>
        </w:rPr>
      </w:r>
    </w:p>
    <w:p w:rsidR="00000000" w:rsidDel="00000000" w:rsidP="00000000" w:rsidRDefault="00000000" w:rsidRPr="00000000" w14:paraId="00000020">
      <w:pPr>
        <w:numPr>
          <w:ilvl w:val="0"/>
          <w:numId w:val="2"/>
        </w:numPr>
        <w:ind w:left="1440" w:hanging="360"/>
        <w:rPr>
          <w:sz w:val="24"/>
          <w:szCs w:val="24"/>
        </w:rPr>
      </w:pPr>
      <w:r w:rsidDel="00000000" w:rsidR="00000000" w:rsidRPr="00000000">
        <w:rPr>
          <w:sz w:val="24"/>
          <w:szCs w:val="24"/>
          <w:rtl w:val="0"/>
        </w:rPr>
        <w:t xml:space="preserve">Ranger Professionalization Toolbox Notes on </w:t>
      </w:r>
      <w:hyperlink r:id="rId11">
        <w:r w:rsidDel="00000000" w:rsidR="00000000" w:rsidRPr="00000000">
          <w:rPr>
            <w:b w:val="1"/>
            <w:bCs w:val="1"/>
            <w:color w:val="1155cc"/>
            <w:sz w:val="24"/>
            <w:szCs w:val="24"/>
            <w:u w:val="single"/>
            <w:rtl w:val="0"/>
          </w:rPr>
          <w:t xml:space="preserve">Conduct</w:t>
        </w:r>
      </w:hyperlink>
      <w:r w:rsidDel="00000000" w:rsidR="00000000" w:rsidRPr="00000000">
        <w:rPr>
          <w:sz w:val="24"/>
          <w:szCs w:val="24"/>
          <w:rtl w:val="0"/>
        </w:rPr>
        <w:t xml:space="preserve"> </w:t>
      </w:r>
    </w:p>
    <w:p w:rsidR="00000000" w:rsidDel="00000000" w:rsidP="00000000" w:rsidRDefault="00000000" w:rsidRPr="00000000" w14:paraId="00000021">
      <w:pPr>
        <w:numPr>
          <w:ilvl w:val="0"/>
          <w:numId w:val="2"/>
        </w:numPr>
        <w:ind w:left="1440" w:hanging="360"/>
        <w:rPr>
          <w:sz w:val="24"/>
          <w:szCs w:val="24"/>
        </w:rPr>
      </w:pPr>
      <w:r w:rsidDel="00000000" w:rsidR="00000000" w:rsidRPr="00000000">
        <w:rPr>
          <w:sz w:val="24"/>
          <w:szCs w:val="24"/>
          <w:rtl w:val="0"/>
        </w:rPr>
        <w:t xml:space="preserve">IUCN WCPA Good Practice Guide on </w:t>
      </w:r>
      <w:hyperlink r:id="rId12">
        <w:r w:rsidDel="00000000" w:rsidR="00000000" w:rsidRPr="00000000">
          <w:rPr>
            <w:b w:val="1"/>
            <w:bCs w:val="1"/>
            <w:color w:val="1155cc"/>
            <w:sz w:val="24"/>
            <w:szCs w:val="24"/>
            <w:u w:val="single"/>
            <w:rtl w:val="0"/>
          </w:rPr>
          <w:t xml:space="preserve">Building trust</w:t>
        </w:r>
      </w:hyperlink>
      <w:r w:rsidDel="00000000" w:rsidR="00000000" w:rsidRPr="00000000">
        <w:rPr>
          <w:sz w:val="24"/>
          <w:szCs w:val="24"/>
          <w:rtl w:val="0"/>
        </w:rPr>
        <w:t xml:space="preserve"> between rangers and communities</w:t>
      </w:r>
      <w:hyperlink r:id="rId13">
        <w:r w:rsidDel="00000000" w:rsidR="00000000" w:rsidRPr="00000000">
          <w:rPr>
            <w:color w:val="1155cc"/>
            <w:sz w:val="24"/>
            <w:szCs w:val="24"/>
            <w:u w:val="single"/>
            <w:rtl w:val="0"/>
          </w:rPr>
          <w:t xml:space="preserve"> </w:t>
        </w:r>
      </w:hyperlink>
      <w:r w:rsidDel="00000000" w:rsidR="00000000" w:rsidRPr="00000000">
        <w:rPr>
          <w:rtl w:val="0"/>
        </w:rPr>
      </w:r>
    </w:p>
    <w:p w:rsidR="00000000" w:rsidDel="00000000" w:rsidP="00000000" w:rsidRDefault="00000000" w:rsidRPr="00000000" w14:paraId="00000022">
      <w:pPr>
        <w:numPr>
          <w:ilvl w:val="0"/>
          <w:numId w:val="2"/>
        </w:numPr>
        <w:ind w:left="1440" w:hanging="360"/>
        <w:rPr>
          <w:sz w:val="24"/>
          <w:szCs w:val="24"/>
        </w:rPr>
      </w:pPr>
      <w:r w:rsidDel="00000000" w:rsidR="00000000" w:rsidRPr="00000000">
        <w:rPr>
          <w:sz w:val="24"/>
          <w:szCs w:val="24"/>
          <w:rtl w:val="0"/>
        </w:rPr>
        <w:t xml:space="preserve">Rangers for </w:t>
      </w:r>
      <w:hyperlink r:id="rId14">
        <w:r w:rsidDel="00000000" w:rsidR="00000000" w:rsidRPr="00000000">
          <w:rPr>
            <w:b w:val="1"/>
            <w:bCs w:val="1"/>
            <w:color w:val="1155cc"/>
            <w:sz w:val="24"/>
            <w:szCs w:val="24"/>
            <w:u w:val="single"/>
            <w:rtl w:val="0"/>
          </w:rPr>
          <w:t xml:space="preserve">30x30</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4"/>
          <w:szCs w:val="24"/>
        </w:rPr>
      </w:pPr>
      <w:r w:rsidDel="00000000" w:rsidR="00000000" w:rsidRPr="00000000">
        <w:rPr>
          <w:sz w:val="24"/>
          <w:szCs w:val="24"/>
          <w:rtl w:val="0"/>
        </w:rPr>
        <w:t xml:space="preserve">IRF URSA Ranger Assurance </w:t>
      </w:r>
      <w:hyperlink r:id="rId15">
        <w:r w:rsidDel="00000000" w:rsidR="00000000" w:rsidRPr="00000000">
          <w:rPr>
            <w:b w:val="1"/>
            <w:bCs w:val="1"/>
            <w:color w:val="1155cc"/>
            <w:sz w:val="24"/>
            <w:szCs w:val="24"/>
            <w:u w:val="single"/>
            <w:rtl w:val="0"/>
          </w:rPr>
          <w:t xml:space="preserve">Checklist</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shd w:fill="auto" w:val="clear"/>
          <w:vertAlign w:val="baseline"/>
        </w:rPr>
      </w:pPr>
      <w:r w:rsidDel="00000000" w:rsidR="00000000" w:rsidRPr="00000000">
        <w:rPr>
          <w:sz w:val="24"/>
          <w:szCs w:val="24"/>
          <w:rtl w:val="0"/>
        </w:rPr>
        <w:t xml:space="preserve">Building Trust with Rangers and Communities </w:t>
      </w:r>
      <w:hyperlink r:id="rId16">
        <w:r w:rsidDel="00000000" w:rsidR="00000000" w:rsidRPr="00000000">
          <w:rPr>
            <w:b w:val="1"/>
            <w:bCs w:val="1"/>
            <w:color w:val="1155cc"/>
            <w:sz w:val="24"/>
            <w:szCs w:val="24"/>
            <w:u w:val="single"/>
            <w:rtl w:val="0"/>
          </w:rPr>
          <w:t xml:space="preserve">(Vol-1)</w:t>
        </w:r>
      </w:hyperlink>
      <w:r w:rsidDel="00000000" w:rsidR="00000000" w:rsidRPr="00000000">
        <w:rPr>
          <w:rtl w:val="0"/>
        </w:rPr>
      </w:r>
    </w:p>
    <w:p w:rsidR="00000000" w:rsidDel="00000000" w:rsidP="00000000" w:rsidRDefault="00000000" w:rsidRPr="00000000" w14:paraId="00000025">
      <w:pPr>
        <w:numPr>
          <w:ilvl w:val="0"/>
          <w:numId w:val="2"/>
        </w:numPr>
        <w:ind w:left="1440" w:hanging="360"/>
        <w:rPr>
          <w:sz w:val="24"/>
          <w:szCs w:val="24"/>
        </w:rPr>
      </w:pPr>
      <w:r w:rsidDel="00000000" w:rsidR="00000000" w:rsidRPr="00000000">
        <w:rPr>
          <w:sz w:val="24"/>
          <w:szCs w:val="24"/>
          <w:rtl w:val="0"/>
        </w:rPr>
        <w:t xml:space="preserve">Building Trust with Rangers and Communities </w:t>
      </w:r>
      <w:hyperlink r:id="rId17">
        <w:r w:rsidDel="00000000" w:rsidR="00000000" w:rsidRPr="00000000">
          <w:rPr>
            <w:b w:val="1"/>
            <w:bCs w:val="1"/>
            <w:color w:val="1155cc"/>
            <w:sz w:val="24"/>
            <w:szCs w:val="24"/>
            <w:u w:val="single"/>
            <w:rtl w:val="0"/>
          </w:rPr>
          <w:t xml:space="preserve">(Vol-2)</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shd w:fill="auto" w:val="clear"/>
          <w:vertAlign w:val="baseline"/>
        </w:rPr>
      </w:pPr>
      <w:r w:rsidDel="00000000" w:rsidR="00000000" w:rsidRPr="00000000">
        <w:rPr>
          <w:sz w:val="24"/>
          <w:szCs w:val="24"/>
          <w:rtl w:val="0"/>
        </w:rPr>
        <w:t xml:space="preserve">Safeguarding the Rights and Well-being of Rangers </w:t>
      </w:r>
      <w:r w:rsidDel="00000000" w:rsidR="00000000" w:rsidRPr="00000000">
        <w:rPr>
          <w:b w:val="1"/>
          <w:bCs w:val="1"/>
          <w:sz w:val="24"/>
          <w:szCs w:val="24"/>
          <w:rtl w:val="0"/>
        </w:rPr>
        <w:t xml:space="preserve">(</w:t>
      </w:r>
      <w:hyperlink r:id="rId18">
        <w:r w:rsidDel="00000000" w:rsidR="00000000" w:rsidRPr="00000000">
          <w:rPr>
            <w:b w:val="1"/>
            <w:bCs w:val="1"/>
            <w:color w:val="1155cc"/>
            <w:sz w:val="24"/>
            <w:szCs w:val="24"/>
            <w:u w:val="single"/>
            <w:rtl w:val="0"/>
          </w:rPr>
          <w:t xml:space="preserve">Part-1</w:t>
        </w:r>
      </w:hyperlink>
      <w:r w:rsidDel="00000000" w:rsidR="00000000" w:rsidRPr="00000000">
        <w:rPr>
          <w:b w:val="1"/>
          <w:bCs w:val="1"/>
          <w:sz w:val="24"/>
          <w:szCs w:val="24"/>
          <w:rtl w:val="0"/>
        </w:rPr>
        <w:t xml:space="preserve">)</w:t>
      </w:r>
    </w:p>
    <w:p w:rsidR="00000000" w:rsidDel="00000000" w:rsidP="00000000" w:rsidRDefault="00000000" w:rsidRPr="00000000" w14:paraId="00000027">
      <w:pPr>
        <w:numPr>
          <w:ilvl w:val="0"/>
          <w:numId w:val="2"/>
        </w:numPr>
        <w:ind w:left="1440" w:hanging="360"/>
        <w:rPr>
          <w:sz w:val="24"/>
          <w:szCs w:val="24"/>
        </w:rPr>
      </w:pPr>
      <w:r w:rsidDel="00000000" w:rsidR="00000000" w:rsidRPr="00000000">
        <w:rPr>
          <w:sz w:val="24"/>
          <w:szCs w:val="24"/>
          <w:rtl w:val="0"/>
        </w:rPr>
        <w:t xml:space="preserve">Safeguarding the Rights and Well-being of Rangers </w:t>
      </w:r>
      <w:hyperlink r:id="rId19">
        <w:r w:rsidDel="00000000" w:rsidR="00000000" w:rsidRPr="00000000">
          <w:rPr>
            <w:b w:val="1"/>
            <w:bCs w:val="1"/>
            <w:color w:val="1155cc"/>
            <w:sz w:val="24"/>
            <w:szCs w:val="24"/>
            <w:u w:val="single"/>
            <w:rtl w:val="0"/>
          </w:rPr>
          <w:t xml:space="preserve">(Part-2)</w:t>
        </w:r>
      </w:hyperlink>
      <w:r w:rsidDel="00000000" w:rsidR="00000000" w:rsidRPr="00000000">
        <w:rPr>
          <w:rtl w:val="0"/>
        </w:rPr>
      </w:r>
    </w:p>
    <w:tbl>
      <w:tblPr>
        <w:tblStyle w:val="Table5"/>
        <w:tblpPr w:leftFromText="141" w:rightFromText="141" w:topFromText="0" w:bottomFromText="0" w:vertAnchor="text" w:horzAnchor="text" w:tblpX="0" w:tblpY="0"/>
        <w:tblW w:w="11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934"/>
        <w:gridCol w:w="8946"/>
        <w:tblGridChange w:id="0">
          <w:tblGrid>
            <w:gridCol w:w="2934"/>
            <w:gridCol w:w="8946"/>
          </w:tblGrid>
        </w:tblGridChange>
      </w:tblGrid>
      <w:tr>
        <w:trPr>
          <w:cantSplit w:val="0"/>
          <w:trHeight w:val="915.9375" w:hRule="atLeast"/>
          <w:tblHeader w:val="0"/>
        </w:trPr>
        <w:tc>
          <w:tcPr>
            <w:tcBorders>
              <w:top w:color="000000" w:space="0" w:sz="0" w:val="nil"/>
              <w:left w:color="000000" w:space="0" w:sz="0" w:val="nil"/>
              <w:bottom w:color="000000" w:space="0" w:sz="0" w:val="nil"/>
              <w:right w:color="000000" w:space="0" w:sz="0" w:val="nil"/>
            </w:tcBorders>
            <w:shd w:fill="0b3c5d" w:val="clear"/>
            <w:tcMar>
              <w:top w:w="160.0" w:type="dxa"/>
              <w:left w:w="360.0" w:type="dxa"/>
              <w:bottom w:w="160.0" w:type="dxa"/>
              <w:right w:w="200.0" w:type="dxa"/>
            </w:tcMar>
            <w:vAlign w:val="center"/>
          </w:tcPr>
          <w:p w:rsidR="00000000" w:rsidDel="00000000" w:rsidP="00000000" w:rsidRDefault="00000000" w:rsidRPr="00000000" w14:paraId="00000028">
            <w:pPr>
              <w:rPr/>
            </w:pPr>
            <w:r w:rsidDel="00000000" w:rsidR="00000000" w:rsidRPr="00000000">
              <w:rPr>
                <w:b w:val="1"/>
                <w:bCs w:val="1"/>
                <w:color w:val="ffffff"/>
                <w:sz w:val="40"/>
                <w:szCs w:val="40"/>
                <w:rtl w:val="0"/>
              </w:rPr>
              <w:t xml:space="preserve">Get in Touch!</w:t>
            </w:r>
            <w:r w:rsidDel="00000000" w:rsidR="00000000" w:rsidRPr="00000000">
              <w:rPr>
                <w:rtl w:val="0"/>
              </w:rPr>
            </w:r>
          </w:p>
        </w:tc>
        <w:tc>
          <w:tcPr>
            <w:tcBorders>
              <w:top w:color="000000" w:space="0" w:sz="0" w:val="nil"/>
              <w:left w:color="1fb5d4" w:space="0" w:sz="24" w:val="single"/>
              <w:bottom w:color="000000" w:space="0" w:sz="0" w:val="nil"/>
              <w:right w:color="000000" w:space="0" w:sz="0" w:val="nil"/>
            </w:tcBorders>
            <w:shd w:fill="0b3c5d" w:val="clear"/>
            <w:tcMar>
              <w:top w:w="160.0" w:type="dxa"/>
              <w:left w:w="360.0" w:type="dxa"/>
              <w:bottom w:w="160.0" w:type="dxa"/>
              <w:right w:w="360.0" w:type="dxa"/>
            </w:tcMar>
            <w:vAlign w:val="center"/>
          </w:tcPr>
          <w:p w:rsidR="00000000" w:rsidDel="00000000" w:rsidP="00000000" w:rsidRDefault="00000000" w:rsidRPr="00000000" w14:paraId="00000029">
            <w:pPr>
              <w:rPr>
                <w:color w:val="ffffff"/>
                <w:sz w:val="24"/>
                <w:szCs w:val="24"/>
              </w:rPr>
            </w:pPr>
            <w:r w:rsidDel="00000000" w:rsidR="00000000" w:rsidRPr="00000000">
              <w:rPr>
                <w:color w:val="ffffff"/>
                <w:sz w:val="24"/>
                <w:szCs w:val="24"/>
                <w:rtl w:val="0"/>
              </w:rPr>
              <w:t xml:space="preserve">Hannah L. Timmins</w:t>
            </w:r>
          </w:p>
          <w:p w:rsidR="00000000" w:rsidDel="00000000" w:rsidP="00000000" w:rsidRDefault="00000000" w:rsidRPr="00000000" w14:paraId="0000002A">
            <w:pPr>
              <w:rPr>
                <w:color w:val="ffffff"/>
                <w:sz w:val="24"/>
                <w:szCs w:val="24"/>
              </w:rPr>
            </w:pPr>
            <w:r w:rsidDel="00000000" w:rsidR="00000000" w:rsidRPr="00000000">
              <w:rPr>
                <w:color w:val="ffffff"/>
                <w:sz w:val="24"/>
                <w:szCs w:val="24"/>
                <w:rtl w:val="0"/>
              </w:rPr>
              <w:t xml:space="preserve">han@equilibriumresearch.com</w:t>
            </w:r>
          </w:p>
          <w:p w:rsidR="00000000" w:rsidDel="00000000" w:rsidP="00000000" w:rsidRDefault="00000000" w:rsidRPr="00000000" w14:paraId="0000002B">
            <w:pPr>
              <w:rPr>
                <w:u w:val="single"/>
              </w:rPr>
            </w:pPr>
            <w:r w:rsidDel="00000000" w:rsidR="00000000" w:rsidRPr="00000000">
              <w:rPr>
                <w:color w:val="ffffff"/>
                <w:sz w:val="24"/>
                <w:szCs w:val="24"/>
                <w:rtl w:val="0"/>
              </w:rPr>
              <w:t xml:space="preserve">For more information: </w:t>
            </w:r>
            <w:r w:rsidDel="00000000" w:rsidR="00000000" w:rsidRPr="00000000">
              <w:rPr>
                <w:color w:val="ffffff"/>
                <w:sz w:val="24"/>
                <w:szCs w:val="24"/>
                <w:u w:val="single"/>
                <w:rtl w:val="0"/>
              </w:rPr>
              <w:t xml:space="preserve">www.ursa4rangers.org/documents</w:t>
            </w:r>
            <w:r w:rsidDel="00000000" w:rsidR="00000000" w:rsidRPr="00000000">
              <w:rPr>
                <w:rtl w:val="0"/>
              </w:rPr>
            </w:r>
          </w:p>
        </w:tc>
      </w:tr>
    </w:tbl>
    <w:p w:rsidR="00000000" w:rsidDel="00000000" w:rsidP="00000000" w:rsidRDefault="00000000" w:rsidRPr="00000000" w14:paraId="0000002C">
      <w:pPr>
        <w:spacing w:line="20" w:lineRule="auto"/>
        <w:rPr/>
      </w:pPr>
      <w:r w:rsidDel="00000000" w:rsidR="00000000" w:rsidRPr="00000000">
        <w:rPr>
          <w:rtl w:val="0"/>
        </w:rPr>
      </w:r>
    </w:p>
    <w:sectPr>
      <w:pgSz w:h="16838" w:w="11906" w:orient="portrait"/>
      <w:pgMar w:bottom="360" w:top="0" w:left="0" w:right="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pPr>
    <w:rPr>
      <w:color w:val="2e74b5"/>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pPr>
    <w:rPr>
      <w:color w:val="2e74b5"/>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pPr>
    <w:rPr>
      <w:color w:val="1f4d78"/>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trong1" w:customStyle="1">
    <w:name w:val="Strong1"/>
    <w:basedOn w:val="Normal"/>
    <w:next w:val="Normal"/>
    <w:qFormat w:val="1"/>
    <w:rPr>
      <w:b w:val="1"/>
      <w:bCs w:val="1"/>
    </w:rPr>
  </w:style>
  <w:style w:type="paragraph" w:styleId="ListParagraph">
    <w:name w:val="List Paragraph"/>
    <w:basedOn w:val="Normal"/>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basedOn w:val="Normal"/>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basedOn w:val="Normal"/>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table" w:styleId="a" w:customStyle="1">
    <w:basedOn w:val="TableNormal0"/>
    <w:tblPr>
      <w:tblStyleRowBandSize w:val="1"/>
      <w:tblStyleColBandSize w:val="1"/>
      <w:tblCellMar>
        <w:top w:w="0.0" w:type="dxa"/>
        <w:left w:w="115.0" w:type="dxa"/>
        <w:bottom w:w="0.0" w:type="dxa"/>
        <w:right w:w="115.0" w:type="dxa"/>
      </w:tblCellMar>
    </w:tblPr>
  </w:style>
  <w:style w:type="table" w:styleId="a0" w:customStyle="1">
    <w:basedOn w:val="TableNormal0"/>
    <w:tblPr>
      <w:tblStyleRowBandSize w:val="1"/>
      <w:tblStyleColBandSize w:val="1"/>
      <w:tblCellMar>
        <w:top w:w="0.0" w:type="dxa"/>
        <w:left w:w="115.0" w:type="dxa"/>
        <w:bottom w:w="0.0" w:type="dxa"/>
        <w:right w:w="115.0" w:type="dxa"/>
      </w:tblCellMar>
    </w:tblPr>
  </w:style>
  <w:style w:type="table" w:styleId="a1" w:customStyle="1">
    <w:basedOn w:val="TableNormal0"/>
    <w:tblPr>
      <w:tblStyleRowBandSize w:val="1"/>
      <w:tblStyleColBandSize w:val="1"/>
      <w:tblCellMar>
        <w:top w:w="0.0" w:type="dxa"/>
        <w:left w:w="115.0" w:type="dxa"/>
        <w:bottom w:w="0.0" w:type="dxa"/>
        <w:right w:w="115.0" w:type="dxa"/>
      </w:tblCellMar>
    </w:tblPr>
  </w:style>
  <w:style w:type="table" w:styleId="a2" w:customStyle="1">
    <w:basedOn w:val="TableNormal0"/>
    <w:tblPr>
      <w:tblStyleRowBandSize w:val="1"/>
      <w:tblStyleColBandSize w:val="1"/>
      <w:tblCellMar>
        <w:top w:w="0.0" w:type="dxa"/>
        <w:left w:w="115.0" w:type="dxa"/>
        <w:bottom w:w="0.0" w:type="dxa"/>
        <w:right w:w="115.0" w:type="dxa"/>
      </w:tblCellMar>
    </w:tblPr>
  </w:style>
  <w:style w:type="table" w:styleId="a3" w:customStyle="1">
    <w:basedOn w:val="TableNormal0"/>
    <w:tblPr>
      <w:tblStyleRowBandSize w:val="1"/>
      <w:tblStyleColBandSize w:val="1"/>
      <w:tblCellMar>
        <w:top w:w="0.0" w:type="dxa"/>
        <w:left w:w="115.0" w:type="dxa"/>
        <w:bottom w:w="0.0" w:type="dxa"/>
        <w:right w:w="115.0" w:type="dxa"/>
      </w:tblCellMar>
    </w:tblPr>
  </w:style>
  <w:style w:type="table" w:styleId="a4" w:customStyle="1">
    <w:basedOn w:val="TableNormal0"/>
    <w:tblPr>
      <w:tblStyleRowBandSize w:val="1"/>
      <w:tblStyleColBandSize w:val="1"/>
      <w:tblCellMar>
        <w:top w:w="0.0" w:type="dxa"/>
        <w:left w:w="115.0" w:type="dxa"/>
        <w:bottom w:w="0.0" w:type="dxa"/>
        <w:right w:w="115.0" w:type="dxa"/>
      </w:tblCellMar>
    </w:tblPr>
  </w:style>
  <w:style w:type="character" w:styleId="UnresolvedMention">
    <w:name w:val="Unresolved Mention"/>
    <w:basedOn w:val="DefaultParagraphFont"/>
    <w:uiPriority w:val="99"/>
    <w:semiHidden w:val="1"/>
    <w:unhideWhenUsed w:val="1"/>
    <w:rsid w:val="005E35D7"/>
    <w:rPr>
      <w:color w:val="605e5c"/>
      <w:shd w:color="auto" w:fill="e1dfdd" w:val="clear"/>
    </w:rPr>
  </w:style>
  <w:style w:type="character" w:styleId="FollowedHyperlink">
    <w:name w:val="FollowedHyperlink"/>
    <w:basedOn w:val="DefaultParagraphFont"/>
    <w:uiPriority w:val="99"/>
    <w:semiHidden w:val="1"/>
    <w:unhideWhenUsed w:val="1"/>
    <w:rsid w:val="005E35D7"/>
    <w:rPr>
      <w:color w:val="800080" w:themeColor="followedHyperlink"/>
      <w:u w:val="single"/>
    </w:rPr>
  </w:style>
  <w:style w:type="paragraph" w:styleId="Header">
    <w:name w:val="header"/>
    <w:basedOn w:val="Normal"/>
    <w:link w:val="HeaderChar"/>
    <w:uiPriority w:val="99"/>
    <w:unhideWhenUsed w:val="1"/>
    <w:rsid w:val="008A5211"/>
    <w:pPr>
      <w:tabs>
        <w:tab w:val="center" w:pos="4513"/>
        <w:tab w:val="right" w:pos="9026"/>
      </w:tabs>
    </w:pPr>
  </w:style>
  <w:style w:type="character" w:styleId="HeaderChar" w:customStyle="1">
    <w:name w:val="Header Char"/>
    <w:basedOn w:val="DefaultParagraphFont"/>
    <w:link w:val="Header"/>
    <w:uiPriority w:val="99"/>
    <w:rsid w:val="008A5211"/>
  </w:style>
  <w:style w:type="paragraph" w:styleId="Footer">
    <w:name w:val="footer"/>
    <w:basedOn w:val="Normal"/>
    <w:link w:val="FooterChar"/>
    <w:uiPriority w:val="99"/>
    <w:unhideWhenUsed w:val="1"/>
    <w:rsid w:val="008A5211"/>
    <w:pPr>
      <w:tabs>
        <w:tab w:val="center" w:pos="4513"/>
        <w:tab w:val="right" w:pos="9026"/>
      </w:tabs>
    </w:pPr>
  </w:style>
  <w:style w:type="character" w:styleId="FooterChar" w:customStyle="1">
    <w:name w:val="Footer Char"/>
    <w:basedOn w:val="DefaultParagraphFont"/>
    <w:link w:val="Footer"/>
    <w:uiPriority w:val="99"/>
    <w:rsid w:val="008A5211"/>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dn.prod.website-files.com/6985ac6f61bdcbdde410b0e8/6ac984b0004edfccadbaa46c_Ranger%20Professionalization%20Toolbox-Conduct.pdf" TargetMode="External"/><Relationship Id="rId10" Type="http://schemas.openxmlformats.org/officeDocument/2006/relationships/hyperlink" Target="https://cdn.prod.website-files.com/6985ac6f61bdcbdde410b0e8/6ac983f9101c533387bcab0b_Ranger%20Professionalization%20Toolbox-Conditions.pdf" TargetMode="External"/><Relationship Id="rId13" Type="http://schemas.openxmlformats.org/officeDocument/2006/relationships/hyperlink" Target="https://portals.iucn.org/library/node/51568" TargetMode="External"/><Relationship Id="rId12" Type="http://schemas.openxmlformats.org/officeDocument/2006/relationships/hyperlink" Target="https://portals.iucn.org/library/node/5156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dn.prod.website-files.com/6985ac6f61bdcbdde410b0e8/6ac983f9101c533387bcab0b_Ranger%20Professionalization%20Toolbox-Conditions.pdf" TargetMode="External"/><Relationship Id="rId15" Type="http://schemas.openxmlformats.org/officeDocument/2006/relationships/hyperlink" Target="https://drive.google.com/file/d/1kYYUa0frQD1GHpGJaIXv3qrRwD-uJR6i/view" TargetMode="External"/><Relationship Id="rId14" Type="http://schemas.openxmlformats.org/officeDocument/2006/relationships/hyperlink" Target="https://cdn.prod.website-files.com/6985ac6f61bdcbdde410b0e8/69e78d99bf83d559b60d4214_URSA-Ranger-30x30-final-new.pdf" TargetMode="External"/><Relationship Id="rId17" Type="http://schemas.openxmlformats.org/officeDocument/2006/relationships/hyperlink" Target="http://69e874930863b69d83573a7b_building-trust-vol-2-eng.pdf" TargetMode="External"/><Relationship Id="rId16" Type="http://schemas.openxmlformats.org/officeDocument/2006/relationships/hyperlink" Target="http://69e873ae972cf26014352639_building-trust-vol-1-eng.pdf" TargetMode="External"/><Relationship Id="rId5" Type="http://schemas.openxmlformats.org/officeDocument/2006/relationships/styles" Target="styles.xml"/><Relationship Id="rId19" Type="http://schemas.openxmlformats.org/officeDocument/2006/relationships/hyperlink" Target="https://cdn.prod.website-files.com/6985ac6f61bdcbdde410b0e8/69e7964f70f1651be693acfa_Safeguarding-the-rights-well-being-of-rangers-Part-2-Guidance-tools-Eng-Part2.pdf" TargetMode="External"/><Relationship Id="rId6" Type="http://schemas.openxmlformats.org/officeDocument/2006/relationships/customXml" Target="../customXML/item1.xml"/><Relationship Id="rId18" Type="http://schemas.openxmlformats.org/officeDocument/2006/relationships/hyperlink" Target="https://cdn.prod.website-files.com/6985ac6f61bdcbdde410b0e8/69e7960dd5eeb2430d5835b6_Safeguarding-the-rights-well-being-of-rangers-Part-2-Guidance-tools-Eng-Part1.pdf" TargetMode="External"/><Relationship Id="rId7" Type="http://schemas.openxmlformats.org/officeDocument/2006/relationships/image" Target="media/image1.png"/><Relationship Id="rId8" Type="http://schemas.openxmlformats.org/officeDocument/2006/relationships/hyperlink" Target="http://www.internationalrangers.org/wp-content/uploads/2026/10/Competencies_toolboxGWP.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cUzmSutMY00fL03JByFdh9CXvw==">CgMxLjA4AHIhMUQ3QVBQbDVwLThRUGFiN0pqYkY1RElnQVF1QnREUGFF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2026-10-02T18:35:00Z</dcterms:created>
  <dc:creator>COP17</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0x0101005CF94615F337A049B08447701D0DAFF9</vt:lpwstr>
  </property>
</Properties>
</file>